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C1E2" w14:textId="1D88C63F" w:rsidR="006445ED" w:rsidRPr="00CA7641" w:rsidRDefault="00DD662E" w:rsidP="006445ED">
      <w:pPr>
        <w:pStyle w:val="Heading1"/>
        <w:suppressAutoHyphens/>
        <w:spacing w:line="480" w:lineRule="auto"/>
        <w:rPr>
          <w:rFonts w:cs="Times New Roman"/>
          <w:bCs w:val="0"/>
          <w:sz w:val="28"/>
          <w:szCs w:val="28"/>
        </w:rPr>
      </w:pPr>
      <w:r w:rsidRPr="00CA7641">
        <w:rPr>
          <w:rFonts w:cs="Times New Roman"/>
          <w:bCs w:val="0"/>
          <w:sz w:val="28"/>
          <w:szCs w:val="28"/>
        </w:rPr>
        <w:t xml:space="preserve">T1000: </w:t>
      </w:r>
      <w:r w:rsidR="005768BC">
        <w:rPr>
          <w:rFonts w:cs="Times New Roman"/>
          <w:bCs w:val="0"/>
          <w:sz w:val="28"/>
          <w:szCs w:val="28"/>
        </w:rPr>
        <w:t>A reduced t</w:t>
      </w:r>
      <w:r w:rsidR="005768BC" w:rsidRPr="00CA7641">
        <w:rPr>
          <w:rFonts w:cs="Times New Roman"/>
          <w:bCs w:val="0"/>
          <w:sz w:val="28"/>
          <w:szCs w:val="28"/>
        </w:rPr>
        <w:t xml:space="preserve">oxicogenomics </w:t>
      </w:r>
      <w:r w:rsidR="005768BC">
        <w:rPr>
          <w:rFonts w:cs="Times New Roman"/>
          <w:bCs w:val="0"/>
          <w:sz w:val="28"/>
          <w:szCs w:val="28"/>
        </w:rPr>
        <w:t>g</w:t>
      </w:r>
      <w:r w:rsidR="005768BC" w:rsidRPr="00CA7641">
        <w:rPr>
          <w:rFonts w:cs="Times New Roman"/>
          <w:bCs w:val="0"/>
          <w:sz w:val="28"/>
          <w:szCs w:val="28"/>
        </w:rPr>
        <w:t xml:space="preserve">ene </w:t>
      </w:r>
      <w:r w:rsidR="005768BC">
        <w:rPr>
          <w:rFonts w:cs="Times New Roman"/>
          <w:bCs w:val="0"/>
          <w:sz w:val="28"/>
          <w:szCs w:val="28"/>
        </w:rPr>
        <w:t>s</w:t>
      </w:r>
      <w:r w:rsidR="005768BC" w:rsidRPr="00CA7641">
        <w:rPr>
          <w:rFonts w:cs="Times New Roman"/>
          <w:bCs w:val="0"/>
          <w:sz w:val="28"/>
          <w:szCs w:val="28"/>
        </w:rPr>
        <w:t xml:space="preserve">et for </w:t>
      </w:r>
      <w:r w:rsidR="005768BC">
        <w:rPr>
          <w:rFonts w:cs="Times New Roman"/>
          <w:bCs w:val="0"/>
          <w:sz w:val="28"/>
          <w:szCs w:val="28"/>
        </w:rPr>
        <w:t>i</w:t>
      </w:r>
      <w:r w:rsidR="005768BC" w:rsidRPr="00CA7641">
        <w:rPr>
          <w:rFonts w:cs="Times New Roman"/>
          <w:bCs w:val="0"/>
          <w:sz w:val="28"/>
          <w:szCs w:val="28"/>
        </w:rPr>
        <w:t xml:space="preserve">mproved </w:t>
      </w:r>
      <w:r w:rsidR="005768BC">
        <w:rPr>
          <w:rFonts w:cs="Times New Roman"/>
          <w:bCs w:val="0"/>
          <w:sz w:val="28"/>
          <w:szCs w:val="28"/>
        </w:rPr>
        <w:t>decision making</w:t>
      </w:r>
      <w:bookmarkStart w:id="0" w:name="_GoBack"/>
      <w:bookmarkEnd w:id="0"/>
    </w:p>
    <w:p w14:paraId="4C43D072" w14:textId="77777777" w:rsidR="006445ED" w:rsidRPr="00CA7641" w:rsidRDefault="006445ED" w:rsidP="006445ED">
      <w:pPr>
        <w:pStyle w:val="Heading1"/>
        <w:suppressAutoHyphens/>
        <w:spacing w:line="480" w:lineRule="auto"/>
        <w:rPr>
          <w:rFonts w:eastAsia="Times New Roman" w:cs="Times New Roman"/>
          <w:b w:val="0"/>
          <w:iCs/>
          <w:sz w:val="24"/>
          <w:szCs w:val="24"/>
        </w:rPr>
      </w:pPr>
      <w:r w:rsidRPr="00CA7641">
        <w:rPr>
          <w:rFonts w:eastAsia="Times New Roman" w:cs="Times New Roman"/>
          <w:b w:val="0"/>
          <w:iCs/>
          <w:sz w:val="24"/>
          <w:szCs w:val="24"/>
          <w:vertAlign w:val="superscript"/>
        </w:rPr>
        <w:t>1</w:t>
      </w:r>
      <w:r w:rsidRPr="00CA7641">
        <w:rPr>
          <w:rFonts w:eastAsia="Times New Roman" w:cs="Times New Roman"/>
          <w:b w:val="0"/>
          <w:iCs/>
          <w:sz w:val="24"/>
          <w:szCs w:val="24"/>
        </w:rPr>
        <w:t xml:space="preserve">Othman Soufan, </w:t>
      </w:r>
      <w:r w:rsidRPr="00CA7641">
        <w:rPr>
          <w:rFonts w:eastAsia="Times New Roman" w:cs="Times New Roman"/>
          <w:b w:val="0"/>
          <w:iCs/>
          <w:sz w:val="24"/>
          <w:szCs w:val="24"/>
          <w:vertAlign w:val="superscript"/>
        </w:rPr>
        <w:t>2</w:t>
      </w:r>
      <w:r w:rsidRPr="00CA7641">
        <w:rPr>
          <w:rFonts w:eastAsia="Times New Roman" w:cs="Times New Roman"/>
          <w:b w:val="0"/>
          <w:iCs/>
          <w:sz w:val="24"/>
          <w:szCs w:val="24"/>
        </w:rPr>
        <w:t xml:space="preserve">Jessica Ewald, </w:t>
      </w:r>
      <w:r w:rsidRPr="00CA7641">
        <w:rPr>
          <w:rFonts w:eastAsia="Times New Roman" w:cs="Times New Roman"/>
          <w:b w:val="0"/>
          <w:iCs/>
          <w:sz w:val="24"/>
          <w:szCs w:val="24"/>
          <w:vertAlign w:val="superscript"/>
        </w:rPr>
        <w:t>1</w:t>
      </w:r>
      <w:r w:rsidRPr="00CA7641">
        <w:rPr>
          <w:rFonts w:eastAsia="Times New Roman" w:cs="Times New Roman"/>
          <w:b w:val="0"/>
          <w:iCs/>
          <w:sz w:val="24"/>
          <w:szCs w:val="24"/>
        </w:rPr>
        <w:t xml:space="preserve">Charles Viau, </w:t>
      </w:r>
      <w:r w:rsidRPr="00CA7641">
        <w:rPr>
          <w:rFonts w:eastAsia="Times New Roman" w:cs="Times New Roman"/>
          <w:b w:val="0"/>
          <w:iCs/>
          <w:sz w:val="24"/>
          <w:szCs w:val="24"/>
          <w:vertAlign w:val="superscript"/>
        </w:rPr>
        <w:t>3</w:t>
      </w:r>
      <w:r w:rsidRPr="00CA7641">
        <w:rPr>
          <w:rFonts w:eastAsia="Times New Roman" w:cs="Times New Roman"/>
          <w:b w:val="0"/>
          <w:iCs/>
          <w:sz w:val="24"/>
          <w:szCs w:val="24"/>
        </w:rPr>
        <w:t xml:space="preserve">Doug Crump, </w:t>
      </w:r>
      <w:r w:rsidRPr="00CA7641">
        <w:rPr>
          <w:rFonts w:eastAsia="Times New Roman" w:cs="Times New Roman"/>
          <w:b w:val="0"/>
          <w:iCs/>
          <w:sz w:val="24"/>
          <w:szCs w:val="24"/>
          <w:vertAlign w:val="superscript"/>
        </w:rPr>
        <w:t>4</w:t>
      </w:r>
      <w:r w:rsidRPr="00CA7641">
        <w:rPr>
          <w:rFonts w:eastAsia="Times New Roman" w:cs="Times New Roman"/>
          <w:b w:val="0"/>
          <w:iCs/>
          <w:sz w:val="24"/>
          <w:szCs w:val="24"/>
        </w:rPr>
        <w:t xml:space="preserve">Markus Hecker, </w:t>
      </w:r>
      <w:r w:rsidRPr="00CA7641">
        <w:rPr>
          <w:rFonts w:eastAsia="Times New Roman" w:cs="Times New Roman"/>
          <w:b w:val="0"/>
          <w:iCs/>
          <w:sz w:val="24"/>
          <w:szCs w:val="24"/>
          <w:vertAlign w:val="superscript"/>
        </w:rPr>
        <w:t>2,*</w:t>
      </w:r>
      <w:r w:rsidRPr="00CA7641">
        <w:rPr>
          <w:rFonts w:eastAsia="Times New Roman" w:cs="Times New Roman"/>
          <w:b w:val="0"/>
          <w:iCs/>
          <w:sz w:val="24"/>
          <w:szCs w:val="24"/>
        </w:rPr>
        <w:t>Niladri Basu</w:t>
      </w:r>
      <w:r>
        <w:rPr>
          <w:rFonts w:eastAsia="Times New Roman" w:cs="Times New Roman"/>
          <w:b w:val="0"/>
          <w:iCs/>
          <w:sz w:val="24"/>
          <w:szCs w:val="24"/>
        </w:rPr>
        <w:t xml:space="preserve"> and </w:t>
      </w:r>
      <w:r w:rsidRPr="00CA7641">
        <w:rPr>
          <w:rFonts w:eastAsia="Times New Roman" w:cs="Times New Roman"/>
          <w:b w:val="0"/>
          <w:iCs/>
          <w:sz w:val="24"/>
          <w:szCs w:val="24"/>
          <w:vertAlign w:val="superscript"/>
        </w:rPr>
        <w:t>1,5</w:t>
      </w:r>
      <w:r>
        <w:rPr>
          <w:rFonts w:eastAsia="Times New Roman" w:cs="Times New Roman"/>
          <w:b w:val="0"/>
          <w:iCs/>
          <w:sz w:val="24"/>
          <w:szCs w:val="24"/>
          <w:vertAlign w:val="superscript"/>
        </w:rPr>
        <w:t>,*</w:t>
      </w:r>
      <w:r w:rsidRPr="00CA7641">
        <w:rPr>
          <w:rFonts w:eastAsia="Times New Roman" w:cs="Times New Roman"/>
          <w:b w:val="0"/>
          <w:iCs/>
          <w:sz w:val="24"/>
          <w:szCs w:val="24"/>
        </w:rPr>
        <w:t>Jianguo Xia</w:t>
      </w:r>
    </w:p>
    <w:p w14:paraId="60A07AFB" w14:textId="77777777" w:rsidR="006445ED" w:rsidRPr="00CA7641" w:rsidRDefault="006445ED" w:rsidP="006445ED">
      <w:pPr>
        <w:spacing w:line="480" w:lineRule="auto"/>
        <w:jc w:val="both"/>
      </w:pPr>
      <w:r w:rsidRPr="00CA7641">
        <w:rPr>
          <w:vertAlign w:val="superscript"/>
        </w:rPr>
        <w:t>1</w:t>
      </w:r>
      <w:r w:rsidRPr="00CA7641">
        <w:t xml:space="preserve">Institute of Parasitology, McGill University, Montreal, Quebec, Canada; </w:t>
      </w:r>
      <w:r w:rsidRPr="00CA7641">
        <w:rPr>
          <w:vertAlign w:val="superscript"/>
        </w:rPr>
        <w:t>2</w:t>
      </w:r>
      <w:r w:rsidRPr="00CA7641">
        <w:t xml:space="preserve">Faculty of Agricultural and Environmental Sciences, McGill University, Montreal, Quebec, Canada; </w:t>
      </w:r>
      <w:r w:rsidRPr="00CA7641">
        <w:rPr>
          <w:vertAlign w:val="superscript"/>
        </w:rPr>
        <w:t>3</w:t>
      </w:r>
      <w:r w:rsidRPr="00CA7641">
        <w:t xml:space="preserve">Ecotoxicology and Wildlife Health Division, Environment and Climate Change Canada, National Wildlife Research Centre, Carleton University, Ottawa, Canada; </w:t>
      </w:r>
      <w:r w:rsidRPr="00CA7641">
        <w:rPr>
          <w:vertAlign w:val="superscript"/>
        </w:rPr>
        <w:t>4</w:t>
      </w:r>
      <w:r w:rsidRPr="00CA7641">
        <w:t xml:space="preserve">School of the Environment &amp; Sustainability and Toxicology Centre, University of Saskatchewan, Saskatoon, Canada; </w:t>
      </w:r>
      <w:r w:rsidRPr="00CA7641">
        <w:rPr>
          <w:vertAlign w:val="superscript"/>
        </w:rPr>
        <w:t>5</w:t>
      </w:r>
      <w:r w:rsidRPr="00CA7641">
        <w:t>Department of Animal Science, McGill University, Montreal, Quebec, Canada.</w:t>
      </w:r>
    </w:p>
    <w:p w14:paraId="079AD9A9" w14:textId="77777777" w:rsidR="005508FA" w:rsidRDefault="005508FA" w:rsidP="005508FA">
      <w:pPr>
        <w:jc w:val="both"/>
      </w:pPr>
    </w:p>
    <w:p w14:paraId="5A9CE024" w14:textId="1AB4F857" w:rsidR="005508FA" w:rsidRDefault="00DE49F5" w:rsidP="005508FA">
      <w:pPr>
        <w:jc w:val="center"/>
        <w:rPr>
          <w:sz w:val="40"/>
          <w:szCs w:val="40"/>
        </w:rPr>
      </w:pPr>
      <w:r>
        <w:rPr>
          <w:sz w:val="40"/>
          <w:szCs w:val="40"/>
        </w:rPr>
        <w:t>Supplementary Information 2</w:t>
      </w:r>
    </w:p>
    <w:p w14:paraId="4F4FA450" w14:textId="77777777" w:rsidR="005508FA" w:rsidRDefault="005508FA" w:rsidP="005508FA">
      <w:pPr>
        <w:jc w:val="center"/>
        <w:rPr>
          <w:sz w:val="36"/>
          <w:szCs w:val="36"/>
        </w:rPr>
      </w:pPr>
    </w:p>
    <w:p w14:paraId="3D5F65BB" w14:textId="77777777" w:rsidR="005508FA" w:rsidRDefault="005508FA" w:rsidP="005508FA">
      <w:pPr>
        <w:spacing w:line="480" w:lineRule="auto"/>
        <w:jc w:val="both"/>
      </w:pPr>
      <w:r>
        <w:t xml:space="preserve">For building a binary classification model, the target variable of decision should be scaled to binary values. In the case of </w:t>
      </w:r>
      <w:r w:rsidRPr="005508FA">
        <w:rPr>
          <w:i/>
          <w:iCs/>
        </w:rPr>
        <w:t>in vitro</w:t>
      </w:r>
      <w:r>
        <w:t xml:space="preserve"> experiments, LDH% scores are provided in a continuous scale. When examining the values of LDH% across different doses as illustrated in </w:t>
      </w:r>
      <w:r>
        <w:fldChar w:fldCharType="begin"/>
      </w:r>
      <w:r>
        <w:instrText xml:space="preserve"> REF _Ref532922100 \h  \* MERGEFORMAT </w:instrText>
      </w:r>
      <w:r>
        <w:fldChar w:fldCharType="separate"/>
      </w:r>
      <w:r>
        <w:t xml:space="preserve">Supplementary Information Figure </w:t>
      </w:r>
      <w:r>
        <w:rPr>
          <w:noProof/>
        </w:rPr>
        <w:t>1</w:t>
      </w:r>
      <w:r>
        <w:fldChar w:fldCharType="end"/>
      </w:r>
      <w:r>
        <w:t xml:space="preserve"> and </w:t>
      </w:r>
      <w:r>
        <w:fldChar w:fldCharType="begin"/>
      </w:r>
      <w:r>
        <w:instrText xml:space="preserve"> REF _Ref532922105 \h  \* MERGEFORMAT </w:instrText>
      </w:r>
      <w:r>
        <w:fldChar w:fldCharType="separate"/>
      </w:r>
      <w:r>
        <w:t xml:space="preserve">Supplementary Information Figure </w:t>
      </w:r>
      <w:r>
        <w:rPr>
          <w:noProof/>
        </w:rPr>
        <w:t>2</w:t>
      </w:r>
      <w:r>
        <w:fldChar w:fldCharType="end"/>
      </w:r>
      <w:r>
        <w:t>, we notice that LDH% dramatically increases and decreases when dose becomes high, in general. Since LDH% reflects the relative survival rate, one expects drops in LDH% with high dose. The increase in LDH% with high doses could be the result of uncommon conditions or experimental error. So, we decided to consider all of these cases as part of the selection of profiles that represent dysregulated values of LDH%. As a result, we applied a threshold to convert LDH% from continuous scale to binary one (i.e. dysregulated vs. non-dysregulated). In machine learning, regression models can handle continuous values. Given that we wanted i</w:t>
      </w:r>
      <w:r w:rsidRPr="005508FA">
        <w:rPr>
          <w:i/>
          <w:iCs/>
        </w:rPr>
        <w:t xml:space="preserve">n </w:t>
      </w:r>
      <w:r>
        <w:rPr>
          <w:i/>
          <w:iCs/>
        </w:rPr>
        <w:t>vitro</w:t>
      </w:r>
      <w:r>
        <w:t xml:space="preserve"> models that can integrate with </w:t>
      </w:r>
      <w:r w:rsidRPr="005508FA">
        <w:rPr>
          <w:i/>
          <w:iCs/>
        </w:rPr>
        <w:t>in vivo</w:t>
      </w:r>
      <w:r>
        <w:t xml:space="preserve"> experiments which are discrete in </w:t>
      </w:r>
      <w:r>
        <w:lastRenderedPageBreak/>
        <w:t xml:space="preserve">nature, we gave preference to the binarization of LDH%. LDH% below 95% and higher than 105% were considered as the dysregulated cases. </w:t>
      </w:r>
    </w:p>
    <w:p w14:paraId="0FCE9A84" w14:textId="77777777" w:rsidR="005508FA" w:rsidRDefault="005508FA" w:rsidP="005508FA">
      <w:pPr>
        <w:jc w:val="both"/>
      </w:pPr>
    </w:p>
    <w:p w14:paraId="040A7CCB" w14:textId="77777777" w:rsidR="005508FA" w:rsidRDefault="005508FA" w:rsidP="005508FA">
      <w:pPr>
        <w:spacing w:line="480" w:lineRule="auto"/>
        <w:jc w:val="both"/>
        <w:rPr>
          <w:color w:val="000000"/>
          <w:lang w:val="en-CA"/>
        </w:rPr>
      </w:pPr>
      <w:r>
        <w:t>Regardless of the specific choice of the binarization thresholds, it should be noted that LDH response were not used for performance evaluation in any stage. The LDH variable server only the selection process and was not used in evaluation to avoid potential bias after the binarization applied.</w:t>
      </w:r>
    </w:p>
    <w:p w14:paraId="21622C20" w14:textId="77777777" w:rsidR="005508FA" w:rsidRPr="005508FA" w:rsidRDefault="005508FA" w:rsidP="005508FA">
      <w:pPr>
        <w:jc w:val="both"/>
        <w:rPr>
          <w:lang w:val="en-CA"/>
        </w:rPr>
      </w:pPr>
    </w:p>
    <w:p w14:paraId="4E4379D4" w14:textId="77777777" w:rsidR="005508FA" w:rsidRPr="005508FA" w:rsidRDefault="005508FA" w:rsidP="005508FA"/>
    <w:p w14:paraId="0DA58852" w14:textId="77777777" w:rsidR="005508FA" w:rsidRDefault="005508FA" w:rsidP="005508FA">
      <w:pPr>
        <w:keepNext/>
      </w:pPr>
      <w:r>
        <w:rPr>
          <w:noProof/>
        </w:rPr>
        <w:drawing>
          <wp:inline distT="0" distB="0" distL="0" distR="0" wp14:anchorId="571D92AA" wp14:editId="24906B29">
            <wp:extent cx="594360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t ldh vs dose_v2.tiff"/>
                    <pic:cNvPicPr/>
                  </pic:nvPicPr>
                  <pic:blipFill>
                    <a:blip r:embed="rId4">
                      <a:extLst>
                        <a:ext uri="{28A0092B-C50C-407E-A947-70E740481C1C}">
                          <a14:useLocalDpi xmlns:a14="http://schemas.microsoft.com/office/drawing/2010/main" val="0"/>
                        </a:ext>
                      </a:extLst>
                    </a:blip>
                    <a:stretch>
                      <a:fillRect/>
                    </a:stretch>
                  </pic:blipFill>
                  <pic:spPr>
                    <a:xfrm>
                      <a:off x="0" y="0"/>
                      <a:ext cx="5943600" cy="4064000"/>
                    </a:xfrm>
                    <a:prstGeom prst="rect">
                      <a:avLst/>
                    </a:prstGeom>
                  </pic:spPr>
                </pic:pic>
              </a:graphicData>
            </a:graphic>
          </wp:inline>
        </w:drawing>
      </w:r>
    </w:p>
    <w:p w14:paraId="226B5E26" w14:textId="77777777" w:rsidR="005508FA" w:rsidRDefault="005508FA" w:rsidP="005508FA">
      <w:pPr>
        <w:pStyle w:val="Caption"/>
      </w:pPr>
      <w:bookmarkStart w:id="1" w:name="_Ref532922100"/>
      <w:r>
        <w:t xml:space="preserve">Supplementary Information Figure </w:t>
      </w:r>
      <w:fldSimple w:instr=" SEQ Supplementary_Information_Figure \* ARABIC ">
        <w:r>
          <w:rPr>
            <w:noProof/>
          </w:rPr>
          <w:t>1</w:t>
        </w:r>
      </w:fldSimple>
      <w:bookmarkEnd w:id="1"/>
      <w:r>
        <w:rPr>
          <w:lang w:val="en-CA"/>
        </w:rPr>
        <w:t>: LDH vs Dose in Human</w:t>
      </w:r>
    </w:p>
    <w:p w14:paraId="0C079FAA" w14:textId="77777777" w:rsidR="005508FA" w:rsidRDefault="005508FA" w:rsidP="005508FA">
      <w:pPr>
        <w:keepNext/>
      </w:pPr>
      <w:r>
        <w:rPr>
          <w:noProof/>
        </w:rPr>
        <w:lastRenderedPageBreak/>
        <w:drawing>
          <wp:inline distT="0" distB="0" distL="0" distR="0" wp14:anchorId="536BD0D8" wp14:editId="6A37DD36">
            <wp:extent cx="5943600"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 ldh vs log-dose_v2.tiff"/>
                    <pic:cNvPicPr/>
                  </pic:nvPicPr>
                  <pic:blipFill>
                    <a:blip r:embed="rId5">
                      <a:extLst>
                        <a:ext uri="{28A0092B-C50C-407E-A947-70E740481C1C}">
                          <a14:useLocalDpi xmlns:a14="http://schemas.microsoft.com/office/drawing/2010/main" val="0"/>
                        </a:ext>
                      </a:extLst>
                    </a:blip>
                    <a:stretch>
                      <a:fillRect/>
                    </a:stretch>
                  </pic:blipFill>
                  <pic:spPr>
                    <a:xfrm>
                      <a:off x="0" y="0"/>
                      <a:ext cx="5943600" cy="4064000"/>
                    </a:xfrm>
                    <a:prstGeom prst="rect">
                      <a:avLst/>
                    </a:prstGeom>
                  </pic:spPr>
                </pic:pic>
              </a:graphicData>
            </a:graphic>
          </wp:inline>
        </w:drawing>
      </w:r>
    </w:p>
    <w:p w14:paraId="1B84F7A7" w14:textId="77777777" w:rsidR="00312053" w:rsidRDefault="005508FA" w:rsidP="005508FA">
      <w:pPr>
        <w:pStyle w:val="Caption"/>
      </w:pPr>
      <w:bookmarkStart w:id="2" w:name="_Ref532922105"/>
      <w:r>
        <w:t xml:space="preserve">Supplementary Information Figure </w:t>
      </w:r>
      <w:fldSimple w:instr=" SEQ Supplementary_Information_Figure \* ARABIC ">
        <w:r>
          <w:rPr>
            <w:noProof/>
          </w:rPr>
          <w:t>2</w:t>
        </w:r>
      </w:fldSimple>
      <w:bookmarkEnd w:id="2"/>
      <w:r>
        <w:rPr>
          <w:lang w:val="en-CA"/>
        </w:rPr>
        <w:t>: LDH vs Dose in Rat</w:t>
      </w:r>
    </w:p>
    <w:sectPr w:rsidR="00312053" w:rsidSect="0090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FA"/>
    <w:rsid w:val="00014F21"/>
    <w:rsid w:val="00032753"/>
    <w:rsid w:val="000340EE"/>
    <w:rsid w:val="00041504"/>
    <w:rsid w:val="00043A20"/>
    <w:rsid w:val="00052831"/>
    <w:rsid w:val="0005487D"/>
    <w:rsid w:val="00062A7B"/>
    <w:rsid w:val="0008102B"/>
    <w:rsid w:val="00091E2B"/>
    <w:rsid w:val="00094530"/>
    <w:rsid w:val="000A0EE3"/>
    <w:rsid w:val="000B7A55"/>
    <w:rsid w:val="000D4325"/>
    <w:rsid w:val="000E2AA9"/>
    <w:rsid w:val="000F28BB"/>
    <w:rsid w:val="001120EF"/>
    <w:rsid w:val="00113AD4"/>
    <w:rsid w:val="001306D6"/>
    <w:rsid w:val="0013702D"/>
    <w:rsid w:val="00144AF3"/>
    <w:rsid w:val="001645CA"/>
    <w:rsid w:val="001752C9"/>
    <w:rsid w:val="00197329"/>
    <w:rsid w:val="001B0C05"/>
    <w:rsid w:val="001B5873"/>
    <w:rsid w:val="001C0437"/>
    <w:rsid w:val="001C1B31"/>
    <w:rsid w:val="001C369C"/>
    <w:rsid w:val="001C7CC9"/>
    <w:rsid w:val="001D2205"/>
    <w:rsid w:val="001D3EAD"/>
    <w:rsid w:val="001D69E3"/>
    <w:rsid w:val="001E69B1"/>
    <w:rsid w:val="002107FF"/>
    <w:rsid w:val="00222EED"/>
    <w:rsid w:val="002366BB"/>
    <w:rsid w:val="00247CEA"/>
    <w:rsid w:val="00256F67"/>
    <w:rsid w:val="00273874"/>
    <w:rsid w:val="002769FF"/>
    <w:rsid w:val="00286935"/>
    <w:rsid w:val="002A2064"/>
    <w:rsid w:val="002A4E35"/>
    <w:rsid w:val="002B431D"/>
    <w:rsid w:val="002B7330"/>
    <w:rsid w:val="002D7EF0"/>
    <w:rsid w:val="002E00B8"/>
    <w:rsid w:val="002F064C"/>
    <w:rsid w:val="002F2114"/>
    <w:rsid w:val="00307124"/>
    <w:rsid w:val="00321FAA"/>
    <w:rsid w:val="00327E4A"/>
    <w:rsid w:val="003453D2"/>
    <w:rsid w:val="00350331"/>
    <w:rsid w:val="00353E70"/>
    <w:rsid w:val="00355040"/>
    <w:rsid w:val="00356C61"/>
    <w:rsid w:val="00360D2F"/>
    <w:rsid w:val="0036223D"/>
    <w:rsid w:val="00364AC9"/>
    <w:rsid w:val="00367A13"/>
    <w:rsid w:val="00380EEE"/>
    <w:rsid w:val="00384A4F"/>
    <w:rsid w:val="0038511D"/>
    <w:rsid w:val="003903AC"/>
    <w:rsid w:val="003935D6"/>
    <w:rsid w:val="00394740"/>
    <w:rsid w:val="003A7DDF"/>
    <w:rsid w:val="003C57EC"/>
    <w:rsid w:val="003D23EA"/>
    <w:rsid w:val="003D6599"/>
    <w:rsid w:val="003E10E6"/>
    <w:rsid w:val="004043F8"/>
    <w:rsid w:val="00407EEF"/>
    <w:rsid w:val="004109E1"/>
    <w:rsid w:val="004213AD"/>
    <w:rsid w:val="004311EA"/>
    <w:rsid w:val="00431E98"/>
    <w:rsid w:val="004422BE"/>
    <w:rsid w:val="004511E4"/>
    <w:rsid w:val="00460FD2"/>
    <w:rsid w:val="00471688"/>
    <w:rsid w:val="00482B12"/>
    <w:rsid w:val="004D0871"/>
    <w:rsid w:val="004F0DD6"/>
    <w:rsid w:val="004F6BD2"/>
    <w:rsid w:val="005126E8"/>
    <w:rsid w:val="0051408A"/>
    <w:rsid w:val="00526EA5"/>
    <w:rsid w:val="00526F0C"/>
    <w:rsid w:val="005414E6"/>
    <w:rsid w:val="005508FA"/>
    <w:rsid w:val="00565515"/>
    <w:rsid w:val="005768BC"/>
    <w:rsid w:val="00585FF9"/>
    <w:rsid w:val="005909EF"/>
    <w:rsid w:val="0059574C"/>
    <w:rsid w:val="005A1774"/>
    <w:rsid w:val="005B41C3"/>
    <w:rsid w:val="005B4F0C"/>
    <w:rsid w:val="005C2C40"/>
    <w:rsid w:val="005D2D3C"/>
    <w:rsid w:val="005D69B1"/>
    <w:rsid w:val="005E56B0"/>
    <w:rsid w:val="005E5D5B"/>
    <w:rsid w:val="005F267A"/>
    <w:rsid w:val="005F2DB2"/>
    <w:rsid w:val="00607C0C"/>
    <w:rsid w:val="00642141"/>
    <w:rsid w:val="006445ED"/>
    <w:rsid w:val="00685D61"/>
    <w:rsid w:val="006C0CBB"/>
    <w:rsid w:val="006C3E3D"/>
    <w:rsid w:val="006D4AAF"/>
    <w:rsid w:val="006E2E52"/>
    <w:rsid w:val="006E787E"/>
    <w:rsid w:val="006F74C3"/>
    <w:rsid w:val="00702650"/>
    <w:rsid w:val="00713204"/>
    <w:rsid w:val="0071433D"/>
    <w:rsid w:val="00726605"/>
    <w:rsid w:val="00727396"/>
    <w:rsid w:val="00732F74"/>
    <w:rsid w:val="00733FD1"/>
    <w:rsid w:val="00744273"/>
    <w:rsid w:val="007551D6"/>
    <w:rsid w:val="007619CE"/>
    <w:rsid w:val="007649E6"/>
    <w:rsid w:val="00772DE1"/>
    <w:rsid w:val="00791AB3"/>
    <w:rsid w:val="00793EFC"/>
    <w:rsid w:val="007A1691"/>
    <w:rsid w:val="007B5CB6"/>
    <w:rsid w:val="007B7632"/>
    <w:rsid w:val="007E6416"/>
    <w:rsid w:val="007E70A1"/>
    <w:rsid w:val="007F4CA3"/>
    <w:rsid w:val="00831085"/>
    <w:rsid w:val="00850470"/>
    <w:rsid w:val="00867561"/>
    <w:rsid w:val="00870658"/>
    <w:rsid w:val="00877F15"/>
    <w:rsid w:val="00895CFF"/>
    <w:rsid w:val="008A5D96"/>
    <w:rsid w:val="008B33F6"/>
    <w:rsid w:val="008C3F2E"/>
    <w:rsid w:val="008C59FD"/>
    <w:rsid w:val="008D71C9"/>
    <w:rsid w:val="008E0416"/>
    <w:rsid w:val="008E5067"/>
    <w:rsid w:val="008E7765"/>
    <w:rsid w:val="00906E60"/>
    <w:rsid w:val="00924818"/>
    <w:rsid w:val="00961BD5"/>
    <w:rsid w:val="00971B26"/>
    <w:rsid w:val="009755E5"/>
    <w:rsid w:val="00987B2B"/>
    <w:rsid w:val="00987C16"/>
    <w:rsid w:val="009904F8"/>
    <w:rsid w:val="009905FA"/>
    <w:rsid w:val="009971AB"/>
    <w:rsid w:val="009974C3"/>
    <w:rsid w:val="009C3564"/>
    <w:rsid w:val="009C574B"/>
    <w:rsid w:val="00A10999"/>
    <w:rsid w:val="00A13F80"/>
    <w:rsid w:val="00A2469F"/>
    <w:rsid w:val="00A24ACC"/>
    <w:rsid w:val="00A265A3"/>
    <w:rsid w:val="00A30650"/>
    <w:rsid w:val="00A33E1D"/>
    <w:rsid w:val="00A40952"/>
    <w:rsid w:val="00A42BD9"/>
    <w:rsid w:val="00A43B4E"/>
    <w:rsid w:val="00A5569F"/>
    <w:rsid w:val="00A60BA5"/>
    <w:rsid w:val="00A6249E"/>
    <w:rsid w:val="00A6627E"/>
    <w:rsid w:val="00A75398"/>
    <w:rsid w:val="00A804FE"/>
    <w:rsid w:val="00A947E7"/>
    <w:rsid w:val="00AA7D6F"/>
    <w:rsid w:val="00AC54D1"/>
    <w:rsid w:val="00AC7A0C"/>
    <w:rsid w:val="00AD058B"/>
    <w:rsid w:val="00AE5AC5"/>
    <w:rsid w:val="00AF27A1"/>
    <w:rsid w:val="00AF58F1"/>
    <w:rsid w:val="00B04673"/>
    <w:rsid w:val="00B155FE"/>
    <w:rsid w:val="00B20373"/>
    <w:rsid w:val="00B33425"/>
    <w:rsid w:val="00B33838"/>
    <w:rsid w:val="00B4594A"/>
    <w:rsid w:val="00B8080F"/>
    <w:rsid w:val="00B83262"/>
    <w:rsid w:val="00B90B82"/>
    <w:rsid w:val="00B95D35"/>
    <w:rsid w:val="00BA538B"/>
    <w:rsid w:val="00BA7947"/>
    <w:rsid w:val="00BA7B3C"/>
    <w:rsid w:val="00BB2DBE"/>
    <w:rsid w:val="00BB5031"/>
    <w:rsid w:val="00BC278B"/>
    <w:rsid w:val="00BC4E9F"/>
    <w:rsid w:val="00BC67D9"/>
    <w:rsid w:val="00BE28B6"/>
    <w:rsid w:val="00BE36B5"/>
    <w:rsid w:val="00BE5236"/>
    <w:rsid w:val="00C06393"/>
    <w:rsid w:val="00C065D7"/>
    <w:rsid w:val="00C25566"/>
    <w:rsid w:val="00C35BF2"/>
    <w:rsid w:val="00C54479"/>
    <w:rsid w:val="00C83ADA"/>
    <w:rsid w:val="00CA2910"/>
    <w:rsid w:val="00CA443B"/>
    <w:rsid w:val="00CB39CE"/>
    <w:rsid w:val="00CB56FA"/>
    <w:rsid w:val="00CD6445"/>
    <w:rsid w:val="00CE67FA"/>
    <w:rsid w:val="00D05CC6"/>
    <w:rsid w:val="00D241ED"/>
    <w:rsid w:val="00D563B0"/>
    <w:rsid w:val="00D66912"/>
    <w:rsid w:val="00D736E7"/>
    <w:rsid w:val="00D77498"/>
    <w:rsid w:val="00D77733"/>
    <w:rsid w:val="00D87875"/>
    <w:rsid w:val="00D9205D"/>
    <w:rsid w:val="00D95F65"/>
    <w:rsid w:val="00DB01D3"/>
    <w:rsid w:val="00DB228E"/>
    <w:rsid w:val="00DC43B5"/>
    <w:rsid w:val="00DC564D"/>
    <w:rsid w:val="00DD662E"/>
    <w:rsid w:val="00DE49F5"/>
    <w:rsid w:val="00DE75E5"/>
    <w:rsid w:val="00E134DA"/>
    <w:rsid w:val="00E17DB5"/>
    <w:rsid w:val="00E20765"/>
    <w:rsid w:val="00E2611B"/>
    <w:rsid w:val="00E35BD1"/>
    <w:rsid w:val="00E47230"/>
    <w:rsid w:val="00E635EF"/>
    <w:rsid w:val="00E637DD"/>
    <w:rsid w:val="00E96706"/>
    <w:rsid w:val="00EA57C7"/>
    <w:rsid w:val="00EB5D99"/>
    <w:rsid w:val="00EC1F3D"/>
    <w:rsid w:val="00ED1F2E"/>
    <w:rsid w:val="00EF130C"/>
    <w:rsid w:val="00F005ED"/>
    <w:rsid w:val="00F01187"/>
    <w:rsid w:val="00F02209"/>
    <w:rsid w:val="00F047E5"/>
    <w:rsid w:val="00F20B9D"/>
    <w:rsid w:val="00F55E9D"/>
    <w:rsid w:val="00F6777C"/>
    <w:rsid w:val="00F84FCE"/>
    <w:rsid w:val="00F85A09"/>
    <w:rsid w:val="00F90CC8"/>
    <w:rsid w:val="00FA32B2"/>
    <w:rsid w:val="00FA3678"/>
    <w:rsid w:val="00FB09E1"/>
    <w:rsid w:val="00FB13F5"/>
    <w:rsid w:val="00FB4B60"/>
    <w:rsid w:val="00FC29FC"/>
    <w:rsid w:val="00FC2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C7AE3E4"/>
  <w14:defaultImageDpi w14:val="32767"/>
  <w15:chartTrackingRefBased/>
  <w15:docId w15:val="{5C4A8469-9E57-4F48-A9DE-835FDB2A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08FA"/>
    <w:rPr>
      <w:rFonts w:ascii="Times New Roman" w:hAnsi="Times New Roman" w:cs="Times New Roman"/>
    </w:rPr>
  </w:style>
  <w:style w:type="paragraph" w:styleId="Heading1">
    <w:name w:val="heading 1"/>
    <w:basedOn w:val="Normal"/>
    <w:next w:val="Normal"/>
    <w:link w:val="Heading1Char"/>
    <w:qFormat/>
    <w:rsid w:val="005508FA"/>
    <w:pPr>
      <w:keepNext/>
      <w:spacing w:before="240" w:after="60" w:line="360" w:lineRule="auto"/>
      <w:jc w:val="both"/>
      <w:outlineLvl w:val="0"/>
    </w:pPr>
    <w:rPr>
      <w:rFonts w:eastAsiaTheme="majorEastAsia" w:cstheme="majorBid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8FA"/>
    <w:rPr>
      <w:rFonts w:ascii="Times New Roman" w:eastAsiaTheme="majorEastAsia" w:hAnsi="Times New Roman" w:cstheme="majorBidi"/>
      <w:b/>
      <w:bCs/>
      <w:kern w:val="32"/>
      <w:sz w:val="40"/>
      <w:szCs w:val="32"/>
    </w:rPr>
  </w:style>
  <w:style w:type="paragraph" w:styleId="Caption">
    <w:name w:val="caption"/>
    <w:basedOn w:val="Normal"/>
    <w:next w:val="Normal"/>
    <w:uiPriority w:val="35"/>
    <w:unhideWhenUsed/>
    <w:qFormat/>
    <w:rsid w:val="005508FA"/>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5508FA"/>
    <w:rPr>
      <w:sz w:val="18"/>
      <w:szCs w:val="18"/>
    </w:rPr>
  </w:style>
  <w:style w:type="paragraph" w:styleId="CommentText">
    <w:name w:val="annotation text"/>
    <w:basedOn w:val="Normal"/>
    <w:link w:val="CommentTextChar"/>
    <w:uiPriority w:val="99"/>
    <w:semiHidden/>
    <w:unhideWhenUsed/>
    <w:rsid w:val="005508FA"/>
    <w:rPr>
      <w:rFonts w:asciiTheme="majorBidi" w:hAnsiTheme="majorBidi" w:cstheme="minorBidi"/>
    </w:rPr>
  </w:style>
  <w:style w:type="character" w:customStyle="1" w:styleId="CommentTextChar">
    <w:name w:val="Comment Text Char"/>
    <w:basedOn w:val="DefaultParagraphFont"/>
    <w:link w:val="CommentText"/>
    <w:uiPriority w:val="99"/>
    <w:semiHidden/>
    <w:rsid w:val="005508FA"/>
    <w:rPr>
      <w:rFonts w:asciiTheme="majorBidi" w:hAnsiTheme="majorBidi"/>
    </w:rPr>
  </w:style>
  <w:style w:type="paragraph" w:styleId="BalloonText">
    <w:name w:val="Balloon Text"/>
    <w:basedOn w:val="Normal"/>
    <w:link w:val="BalloonTextChar"/>
    <w:uiPriority w:val="99"/>
    <w:semiHidden/>
    <w:unhideWhenUsed/>
    <w:rsid w:val="005508FA"/>
    <w:rPr>
      <w:sz w:val="18"/>
      <w:szCs w:val="18"/>
    </w:rPr>
  </w:style>
  <w:style w:type="character" w:customStyle="1" w:styleId="BalloonTextChar">
    <w:name w:val="Balloon Text Char"/>
    <w:basedOn w:val="DefaultParagraphFont"/>
    <w:link w:val="BalloonText"/>
    <w:uiPriority w:val="99"/>
    <w:semiHidden/>
    <w:rsid w:val="005508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Soufan</dc:creator>
  <cp:keywords/>
  <dc:description/>
  <cp:lastModifiedBy>Othman Soufan</cp:lastModifiedBy>
  <cp:revision>5</cp:revision>
  <dcterms:created xsi:type="dcterms:W3CDTF">2019-03-14T20:03:00Z</dcterms:created>
  <dcterms:modified xsi:type="dcterms:W3CDTF">2019-06-28T22:33:00Z</dcterms:modified>
</cp:coreProperties>
</file>