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AA" w:rsidRPr="00267394" w:rsidRDefault="00884BAA">
      <w:pPr>
        <w:rPr>
          <w:sz w:val="20"/>
          <w:lang w:val="en-US"/>
        </w:rPr>
      </w:pPr>
    </w:p>
    <w:p w:rsidR="00884BAA" w:rsidRPr="00884BAA" w:rsidRDefault="00884BAA">
      <w:pPr>
        <w:rPr>
          <w:b/>
          <w:sz w:val="20"/>
          <w:lang w:val="en-US"/>
        </w:rPr>
      </w:pPr>
      <w:r w:rsidRPr="00884BAA">
        <w:rPr>
          <w:b/>
          <w:sz w:val="20"/>
          <w:lang w:val="en-US"/>
        </w:rPr>
        <w:t>Table 2. Unadjusted and a</w:t>
      </w:r>
      <w:r>
        <w:rPr>
          <w:b/>
          <w:sz w:val="20"/>
          <w:lang w:val="en-US"/>
        </w:rPr>
        <w:t>d</w:t>
      </w:r>
      <w:r w:rsidRPr="00884BAA">
        <w:rPr>
          <w:b/>
          <w:sz w:val="20"/>
          <w:lang w:val="en-US"/>
        </w:rPr>
        <w:t>justed differences in sc</w:t>
      </w:r>
      <w:r>
        <w:rPr>
          <w:b/>
          <w:sz w:val="20"/>
          <w:lang w:val="en-US"/>
        </w:rPr>
        <w:t>ores assigned by ex</w:t>
      </w:r>
      <w:r w:rsidRPr="00884BAA">
        <w:rPr>
          <w:b/>
          <w:sz w:val="20"/>
          <w:lang w:val="en-US"/>
        </w:rPr>
        <w:t>ternal revi</w:t>
      </w:r>
      <w:r>
        <w:rPr>
          <w:b/>
          <w:sz w:val="20"/>
          <w:lang w:val="en-US"/>
        </w:rPr>
        <w:t>e</w:t>
      </w:r>
      <w:r w:rsidRPr="00884BAA">
        <w:rPr>
          <w:b/>
          <w:sz w:val="20"/>
          <w:lang w:val="en-US"/>
        </w:rPr>
        <w:t>wers of grant app</w:t>
      </w:r>
      <w:r>
        <w:rPr>
          <w:b/>
          <w:sz w:val="20"/>
          <w:lang w:val="en-US"/>
        </w:rPr>
        <w:t>lications submitted to the SNSF</w:t>
      </w:r>
    </w:p>
    <w:tbl>
      <w:tblPr>
        <w:tblStyle w:val="TableGrid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83"/>
        <w:gridCol w:w="851"/>
        <w:gridCol w:w="1759"/>
        <w:gridCol w:w="933"/>
      </w:tblGrid>
      <w:tr w:rsidR="00AD387A" w:rsidRPr="00F133C0" w:rsidTr="00384073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D387A" w:rsidRPr="00F133C0" w:rsidRDefault="00AD387A" w:rsidP="00112006">
            <w:pPr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</w:pPr>
            <w:r w:rsidRPr="00F133C0"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t>Variable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:rsidR="00AD387A" w:rsidRPr="00F133C0" w:rsidRDefault="00AD387A" w:rsidP="00AD387A">
            <w:pPr>
              <w:jc w:val="center"/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t>Unadjusted effect</w:t>
            </w:r>
            <w:r w:rsidRPr="00F133C0"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t xml:space="preserve"> </w:t>
            </w:r>
            <w:r w:rsidRPr="00F133C0"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br/>
              <w:t>(95% CI)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387A" w:rsidRPr="00F133C0" w:rsidRDefault="00AD387A" w:rsidP="006C7BF8">
            <w:pPr>
              <w:ind w:left="-198" w:right="-108" w:firstLine="18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="006C7BF8">
              <w:rPr>
                <w:b/>
                <w:lang w:val="en-GB"/>
              </w:rPr>
              <w:t>-Value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AD387A" w:rsidRDefault="00AD387A" w:rsidP="00AD387A">
            <w:pPr>
              <w:jc w:val="center"/>
              <w:rPr>
                <w:b/>
                <w:lang w:val="en-GB"/>
              </w:rPr>
            </w:pPr>
            <w:r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t>Adjusted effect</w:t>
            </w:r>
            <w:r w:rsidRPr="00F133C0">
              <w:rPr>
                <w:rFonts w:ascii="CharterBT-Roman" w:hAnsi="CharterBT-Roman" w:cs="CharterBT-Roman"/>
                <w:b/>
                <w:sz w:val="17"/>
                <w:szCs w:val="17"/>
                <w:lang w:val="en-GB"/>
              </w:rPr>
              <w:br/>
              <w:t>(95% CI)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D387A" w:rsidRDefault="00AD387A" w:rsidP="0011200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="006C7BF8">
              <w:rPr>
                <w:b/>
                <w:lang w:val="en-GB"/>
              </w:rPr>
              <w:t>-Value</w:t>
            </w:r>
          </w:p>
        </w:tc>
      </w:tr>
      <w:tr w:rsidR="00AD387A" w:rsidRPr="00F133C0" w:rsidTr="00384073">
        <w:tc>
          <w:tcPr>
            <w:tcW w:w="315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D387A" w:rsidRPr="00F133C0" w:rsidRDefault="00AD387A" w:rsidP="00112006">
            <w:pPr>
              <w:spacing w:before="60"/>
              <w:rPr>
                <w:lang w:val="en-GB"/>
              </w:rPr>
            </w:pPr>
            <w:r w:rsidRPr="00F133C0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Source of nomination of reviewer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D387A" w:rsidRPr="00F133C0" w:rsidRDefault="00AD387A" w:rsidP="00112006">
            <w:pPr>
              <w:spacing w:before="60"/>
              <w:jc w:val="center"/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D387A" w:rsidRPr="00074A27" w:rsidRDefault="00AD387A" w:rsidP="00112006">
            <w:pPr>
              <w:spacing w:before="60"/>
              <w:jc w:val="center"/>
              <w:rPr>
                <w:rFonts w:ascii="CharterBT-Roman" w:hAnsi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/>
                <w:sz w:val="17"/>
                <w:szCs w:val="17"/>
                <w:lang w:val="en-GB"/>
              </w:rPr>
              <w:t>&lt;0.001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D387A" w:rsidRDefault="00AD387A" w:rsidP="00112006">
            <w:pPr>
              <w:spacing w:before="60"/>
              <w:jc w:val="center"/>
              <w:rPr>
                <w:rFonts w:ascii="CharterBT-Roman" w:hAnsi="CharterBT-Roman"/>
                <w:sz w:val="17"/>
                <w:szCs w:val="17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AD387A" w:rsidRDefault="00AD387A" w:rsidP="00112006">
            <w:pPr>
              <w:spacing w:before="60"/>
              <w:jc w:val="center"/>
              <w:rPr>
                <w:rFonts w:ascii="CharterBT-Roman" w:hAnsi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/>
                <w:sz w:val="17"/>
                <w:szCs w:val="17"/>
                <w:lang w:val="en-GB"/>
              </w:rPr>
              <w:t>&lt;0.001</w:t>
            </w:r>
          </w:p>
        </w:tc>
      </w:tr>
      <w:tr w:rsidR="00AD387A" w:rsidRPr="00AD387A" w:rsidTr="00384073">
        <w:trPr>
          <w:trHeight w:val="68"/>
        </w:trPr>
        <w:tc>
          <w:tcPr>
            <w:tcW w:w="3150" w:type="dxa"/>
            <w:shd w:val="clear" w:color="auto" w:fill="E7E6E6" w:themeFill="background2"/>
          </w:tcPr>
          <w:p w:rsidR="00AD387A" w:rsidRPr="00F133C0" w:rsidRDefault="00AD387A" w:rsidP="00112006">
            <w:pPr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    Applicant</w:t>
            </w:r>
          </w:p>
        </w:tc>
        <w:tc>
          <w:tcPr>
            <w:tcW w:w="2783" w:type="dxa"/>
            <w:shd w:val="clear" w:color="auto" w:fill="E7E6E6" w:themeFill="background2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0.53 (0.50 – 0.56</w:t>
            </w:r>
            <w:r w:rsidRPr="007A4D54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)</w:t>
            </w:r>
          </w:p>
        </w:tc>
        <w:tc>
          <w:tcPr>
            <w:tcW w:w="851" w:type="dxa"/>
            <w:shd w:val="clear" w:color="auto" w:fill="E7E6E6" w:themeFill="background2"/>
          </w:tcPr>
          <w:p w:rsidR="00AD387A" w:rsidRPr="00F133C0" w:rsidRDefault="00AD387A" w:rsidP="00112006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shd w:val="clear" w:color="auto" w:fill="E7E6E6" w:themeFill="background2"/>
          </w:tcPr>
          <w:p w:rsidR="00AD387A" w:rsidRPr="00F133C0" w:rsidRDefault="00AD387A" w:rsidP="00112006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0.49 (0.46 – </w:t>
            </w:r>
            <w:r w:rsidRPr="007A4D54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0.51)</w:t>
            </w:r>
          </w:p>
        </w:tc>
        <w:tc>
          <w:tcPr>
            <w:tcW w:w="933" w:type="dxa"/>
            <w:shd w:val="clear" w:color="auto" w:fill="E7E6E6" w:themeFill="background2"/>
          </w:tcPr>
          <w:p w:rsidR="00AD387A" w:rsidRPr="00F133C0" w:rsidRDefault="00AD387A" w:rsidP="00112006">
            <w:pPr>
              <w:jc w:val="center"/>
              <w:rPr>
                <w:lang w:val="en-GB"/>
              </w:rPr>
            </w:pPr>
          </w:p>
        </w:tc>
      </w:tr>
      <w:tr w:rsidR="00AD387A" w:rsidRPr="00AD387A" w:rsidTr="00384073">
        <w:tc>
          <w:tcPr>
            <w:tcW w:w="315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87A" w:rsidRPr="00267394" w:rsidRDefault="00AD387A" w:rsidP="00AD387A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    Office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AD387A" w:rsidRPr="00AD387A" w:rsidTr="00384073">
        <w:trPr>
          <w:trHeight w:val="131"/>
        </w:trPr>
        <w:tc>
          <w:tcPr>
            <w:tcW w:w="3150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 w:rsidRPr="00F133C0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Country of affiliation of the reviewer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pct5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pct5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</w:tr>
      <w:tr w:rsidR="00AD387A" w:rsidRPr="00AD387A" w:rsidTr="00384073">
        <w:tc>
          <w:tcPr>
            <w:tcW w:w="3150" w:type="dxa"/>
            <w:shd w:val="pct5" w:color="auto" w:fill="auto"/>
          </w:tcPr>
          <w:p w:rsidR="00AD387A" w:rsidRPr="00F133C0" w:rsidRDefault="00AD387A" w:rsidP="00AD387A">
            <w:pPr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    Outside Switzerland</w:t>
            </w:r>
          </w:p>
        </w:tc>
        <w:tc>
          <w:tcPr>
            <w:tcW w:w="2783" w:type="dxa"/>
            <w:shd w:val="pct5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0.53 (0.49 – 0.56)</w:t>
            </w:r>
          </w:p>
        </w:tc>
        <w:tc>
          <w:tcPr>
            <w:tcW w:w="851" w:type="dxa"/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0.47 (0.44 – 0.50)</w:t>
            </w:r>
          </w:p>
        </w:tc>
        <w:tc>
          <w:tcPr>
            <w:tcW w:w="933" w:type="dxa"/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AD387A" w:rsidRPr="00AD387A" w:rsidTr="00384073">
        <w:trPr>
          <w:trHeight w:val="257"/>
        </w:trPr>
        <w:tc>
          <w:tcPr>
            <w:tcW w:w="3150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    Switzerland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AD387A" w:rsidRPr="00AD387A" w:rsidTr="00384073">
        <w:tc>
          <w:tcPr>
            <w:tcW w:w="3150" w:type="dxa"/>
            <w:tcBorders>
              <w:top w:val="single" w:sz="4" w:space="0" w:color="auto"/>
            </w:tcBorders>
            <w:shd w:val="pct10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 w:rsidRPr="007A4D54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Gender of the applicant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pct10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0" w:color="auto" w:fill="auto"/>
          </w:tcPr>
          <w:p w:rsidR="00AD387A" w:rsidRPr="007A4D54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pct10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pct10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</w:tr>
      <w:tr w:rsidR="00AD387A" w:rsidRPr="00F133C0" w:rsidTr="00384073">
        <w:tc>
          <w:tcPr>
            <w:tcW w:w="3150" w:type="dxa"/>
            <w:shd w:val="pct10" w:color="auto" w:fill="auto"/>
          </w:tcPr>
          <w:p w:rsidR="00AD387A" w:rsidRPr="00AD387A" w:rsidRDefault="00AD387A" w:rsidP="00AD387A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 w:rsidRPr="00AD387A"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Male</w:t>
            </w:r>
          </w:p>
        </w:tc>
        <w:tc>
          <w:tcPr>
            <w:tcW w:w="2783" w:type="dxa"/>
            <w:shd w:val="pct10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0.19 (0.14 – 0.23)</w:t>
            </w:r>
          </w:p>
        </w:tc>
        <w:tc>
          <w:tcPr>
            <w:tcW w:w="851" w:type="dxa"/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0.09 (0.04 – 0.13)</w:t>
            </w:r>
          </w:p>
        </w:tc>
        <w:tc>
          <w:tcPr>
            <w:tcW w:w="933" w:type="dxa"/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AD387A" w:rsidRPr="00F133C0" w:rsidTr="00384073">
        <w:tc>
          <w:tcPr>
            <w:tcW w:w="3150" w:type="dxa"/>
            <w:tcBorders>
              <w:bottom w:val="single" w:sz="4" w:space="0" w:color="auto"/>
            </w:tcBorders>
            <w:shd w:val="pct10" w:color="auto" w:fill="auto"/>
          </w:tcPr>
          <w:p w:rsidR="00AD387A" w:rsidRDefault="00AD387A" w:rsidP="00AD387A">
            <w:pPr>
              <w:rPr>
                <w:rFonts w:ascii="CharterBT-Roman" w:hAnsi="CharterBT-Roman" w:cs="CharterBT-Roman"/>
                <w:sz w:val="17"/>
                <w:szCs w:val="17"/>
              </w:rPr>
            </w:pPr>
            <w:r>
              <w:rPr>
                <w:rFonts w:ascii="CharterBT-Roman" w:hAnsi="CharterBT-Roman" w:cs="CharterBT-Roman"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CharterBT-Roman" w:hAnsi="CharterBT-Roman" w:cs="CharterBT-Roman"/>
                <w:sz w:val="17"/>
                <w:szCs w:val="17"/>
              </w:rPr>
              <w:t>Female</w:t>
            </w:r>
            <w:proofErr w:type="spellEnd"/>
            <w:r>
              <w:rPr>
                <w:rFonts w:ascii="CharterBT-Roman" w:hAnsi="CharterBT-Roman" w:cs="CharterBT-Roman"/>
                <w:sz w:val="17"/>
                <w:szCs w:val="17"/>
              </w:rPr>
              <w:t xml:space="preserve"> 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pct10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pct10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AD387A" w:rsidRPr="007A4D54" w:rsidTr="00384073">
        <w:tc>
          <w:tcPr>
            <w:tcW w:w="3150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 w:rsidRPr="007A4D54"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Gender of the reviewer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pct5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pct5" w:color="auto" w:fill="auto"/>
          </w:tcPr>
          <w:p w:rsidR="00AD387A" w:rsidRDefault="00AD387A" w:rsidP="00AD387A">
            <w:pPr>
              <w:spacing w:before="60" w:after="60"/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</w:tr>
      <w:tr w:rsidR="00AD387A" w:rsidRPr="00F133C0" w:rsidTr="00384073">
        <w:tc>
          <w:tcPr>
            <w:tcW w:w="3150" w:type="dxa"/>
            <w:shd w:val="pct5" w:color="auto" w:fill="auto"/>
          </w:tcPr>
          <w:p w:rsidR="00AD387A" w:rsidRDefault="00AD387A" w:rsidP="00AD387A">
            <w:pPr>
              <w:rPr>
                <w:rFonts w:ascii="CharterBT-Roman" w:hAnsi="CharterBT-Roman" w:cs="CharterBT-Roman"/>
                <w:sz w:val="17"/>
                <w:szCs w:val="17"/>
              </w:rPr>
            </w:pPr>
            <w:r>
              <w:rPr>
                <w:rFonts w:ascii="CharterBT-Roman" w:hAnsi="CharterBT-Roman" w:cs="CharterBT-Roman"/>
                <w:sz w:val="17"/>
                <w:szCs w:val="17"/>
              </w:rPr>
              <w:t xml:space="preserve">    Male</w:t>
            </w:r>
          </w:p>
        </w:tc>
        <w:tc>
          <w:tcPr>
            <w:tcW w:w="2783" w:type="dxa"/>
            <w:shd w:val="pct5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0.12 (0.08 – 0.15)</w:t>
            </w:r>
          </w:p>
        </w:tc>
        <w:tc>
          <w:tcPr>
            <w:tcW w:w="851" w:type="dxa"/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0.08 (0.05 – 0.11)</w:t>
            </w:r>
          </w:p>
        </w:tc>
        <w:tc>
          <w:tcPr>
            <w:tcW w:w="933" w:type="dxa"/>
            <w:shd w:val="pct5" w:color="auto" w:fill="auto"/>
          </w:tcPr>
          <w:p w:rsidR="006C7BF8" w:rsidRPr="00F133C0" w:rsidRDefault="006C7BF8" w:rsidP="006C7BF8">
            <w:pPr>
              <w:rPr>
                <w:lang w:val="en-GB"/>
              </w:rPr>
            </w:pPr>
          </w:p>
        </w:tc>
      </w:tr>
      <w:tr w:rsidR="00AD387A" w:rsidRPr="00F133C0" w:rsidTr="00384073">
        <w:tc>
          <w:tcPr>
            <w:tcW w:w="3150" w:type="dxa"/>
            <w:tcBorders>
              <w:bottom w:val="single" w:sz="4" w:space="0" w:color="auto"/>
            </w:tcBorders>
            <w:shd w:val="pct5" w:color="auto" w:fill="auto"/>
          </w:tcPr>
          <w:p w:rsidR="00AD387A" w:rsidRDefault="00AD387A" w:rsidP="00AD387A">
            <w:pPr>
              <w:rPr>
                <w:rFonts w:ascii="CharterBT-Roman" w:hAnsi="CharterBT-Roman" w:cs="CharterBT-Roman"/>
                <w:sz w:val="17"/>
                <w:szCs w:val="17"/>
              </w:rPr>
            </w:pPr>
            <w:r>
              <w:rPr>
                <w:rFonts w:ascii="CharterBT-Roman" w:hAnsi="CharterBT-Roman" w:cs="CharterBT-Roman"/>
                <w:sz w:val="17"/>
                <w:szCs w:val="17"/>
              </w:rPr>
              <w:t xml:space="preserve">    </w:t>
            </w:r>
            <w:proofErr w:type="spellStart"/>
            <w:r>
              <w:rPr>
                <w:rFonts w:ascii="CharterBT-Roman" w:hAnsi="CharterBT-Roman" w:cs="CharterBT-Roman"/>
                <w:sz w:val="17"/>
                <w:szCs w:val="17"/>
              </w:rPr>
              <w:t>Female</w:t>
            </w:r>
            <w:proofErr w:type="spellEnd"/>
            <w:r>
              <w:rPr>
                <w:rFonts w:ascii="CharterBT-Roman" w:hAnsi="CharterBT-Roman" w:cs="CharterBT-Roman"/>
                <w:sz w:val="17"/>
                <w:szCs w:val="17"/>
              </w:rPr>
              <w:t xml:space="preserve"> 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pct5" w:color="auto" w:fill="auto"/>
          </w:tcPr>
          <w:p w:rsidR="00AD387A" w:rsidRPr="007A4D54" w:rsidRDefault="00AD387A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pct5" w:color="auto" w:fill="auto"/>
          </w:tcPr>
          <w:p w:rsidR="00AD387A" w:rsidRPr="00F133C0" w:rsidRDefault="00AD387A" w:rsidP="00AD387A">
            <w:pPr>
              <w:jc w:val="center"/>
              <w:rPr>
                <w:lang w:val="en-GB"/>
              </w:rPr>
            </w:pPr>
          </w:p>
        </w:tc>
      </w:tr>
      <w:tr w:rsidR="00267394" w:rsidRPr="00F133C0" w:rsidTr="00384073">
        <w:trPr>
          <w:trHeight w:val="499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67394" w:rsidRDefault="006C7BF8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Age of the applicant </w:t>
            </w:r>
          </w:p>
          <w:p w:rsidR="006C7BF8" w:rsidRPr="000D5182" w:rsidRDefault="006C7BF8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 w:rsidRPr="000D5182"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Per 10 year increase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67394" w:rsidRDefault="00267394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0.06 (0.03 – 0.08)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67394" w:rsidRPr="00F133C0" w:rsidRDefault="006C7BF8" w:rsidP="00AD387A">
            <w:pPr>
              <w:jc w:val="center"/>
              <w:rPr>
                <w:lang w:val="en-GB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67394" w:rsidRDefault="00267394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0.05 (0.03 – 0.07)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267394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  <w:p w:rsidR="006C7BF8" w:rsidRPr="00F133C0" w:rsidRDefault="006C7BF8" w:rsidP="00AD387A">
            <w:pPr>
              <w:jc w:val="center"/>
              <w:rPr>
                <w:lang w:val="en-GB"/>
              </w:rPr>
            </w:pPr>
          </w:p>
        </w:tc>
      </w:tr>
      <w:tr w:rsidR="006C7BF8" w:rsidRPr="00F133C0" w:rsidTr="00384073">
        <w:tc>
          <w:tcPr>
            <w:tcW w:w="31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Affiliation of the applicant</w:t>
            </w:r>
          </w:p>
          <w:p w:rsidR="006C7BF8" w:rsidRDefault="006C7BF8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ETH Domain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33F94" w:rsidRDefault="00533F94" w:rsidP="00533F94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533F94" w:rsidRDefault="00533F94" w:rsidP="00533F94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0.30 (0.26 – 0.34)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533F94" w:rsidRDefault="00533F94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0.11 (0.07 – 0.16)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&lt;0.001</w:t>
            </w:r>
          </w:p>
          <w:p w:rsidR="006C7BF8" w:rsidRDefault="006C7BF8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</w:tr>
      <w:tr w:rsidR="006C7BF8" w:rsidRPr="00F133C0" w:rsidTr="00384073">
        <w:tc>
          <w:tcPr>
            <w:tcW w:w="3150" w:type="dxa"/>
            <w:shd w:val="clear" w:color="auto" w:fill="F2F2F2" w:themeFill="background1" w:themeFillShade="F2"/>
          </w:tcPr>
          <w:p w:rsidR="006C7BF8" w:rsidRDefault="00533F94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Other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6C7BF8" w:rsidRDefault="00533F94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-0.24 (-0.30 - -0.19)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C7BF8" w:rsidRDefault="006C7BF8" w:rsidP="00533F94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1759" w:type="dxa"/>
            <w:shd w:val="clear" w:color="auto" w:fill="F2F2F2" w:themeFill="background1" w:themeFillShade="F2"/>
          </w:tcPr>
          <w:p w:rsidR="006C7BF8" w:rsidRDefault="00533F94" w:rsidP="00533F94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-0.19 (-0.25 – -0.14)</w:t>
            </w:r>
          </w:p>
        </w:tc>
        <w:tc>
          <w:tcPr>
            <w:tcW w:w="933" w:type="dxa"/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</w:tr>
      <w:tr w:rsidR="006C7BF8" w:rsidRPr="00F133C0" w:rsidTr="00384073">
        <w:trPr>
          <w:trHeight w:val="221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BF8" w:rsidRDefault="00533F94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Universities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BF8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BF8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C7BF8" w:rsidRDefault="006C7BF8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</w:tr>
      <w:tr w:rsidR="00AD5D4D" w:rsidRPr="00F133C0" w:rsidTr="00384073">
        <w:trPr>
          <w:trHeight w:val="221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Nationality of the applicant</w:t>
            </w:r>
          </w:p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Other than Swiss</w:t>
            </w:r>
          </w:p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Swiss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0.03 (-0.01 – 0.07)</w:t>
            </w: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0.093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0.47 (0.44 – 0.50)</w:t>
            </w: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0.218</w:t>
            </w: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</w:p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</w:tr>
      <w:tr w:rsidR="00AD5D4D" w:rsidRPr="00F133C0" w:rsidTr="00384073">
        <w:trPr>
          <w:trHeight w:val="221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Field of research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D4D" w:rsidRDefault="00AD5D4D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D4D" w:rsidRDefault="00AD5D4D" w:rsidP="00AD5D4D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</w:tc>
      </w:tr>
      <w:tr w:rsidR="00AD5D4D" w:rsidRPr="00F133C0" w:rsidTr="00384073">
        <w:trPr>
          <w:trHeight w:val="221"/>
        </w:trPr>
        <w:tc>
          <w:tcPr>
            <w:tcW w:w="3150" w:type="dxa"/>
            <w:shd w:val="clear" w:color="auto" w:fill="F2F2F2" w:themeFill="background1" w:themeFillShade="F2"/>
          </w:tcPr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Medicine</w:t>
            </w:r>
          </w:p>
          <w:p w:rsidR="00AD5D4D" w:rsidRDefault="00AD5D4D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Architecture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AD5D4D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 xml:space="preserve">0 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0.13 (0.03 – 0.23)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D5D4D" w:rsidRDefault="00AD5D4D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  <w:tc>
          <w:tcPr>
            <w:tcW w:w="1759" w:type="dxa"/>
            <w:shd w:val="clear" w:color="auto" w:fill="F2F2F2" w:themeFill="background1" w:themeFillShade="F2"/>
          </w:tcPr>
          <w:p w:rsidR="00AD5D4D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GB"/>
              </w:rPr>
              <w:t>0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0.15 (0.05 – 0.25)</w:t>
            </w:r>
          </w:p>
        </w:tc>
        <w:tc>
          <w:tcPr>
            <w:tcW w:w="933" w:type="dxa"/>
            <w:shd w:val="clear" w:color="auto" w:fill="F2F2F2" w:themeFill="background1" w:themeFillShade="F2"/>
          </w:tcPr>
          <w:p w:rsidR="00AD5D4D" w:rsidRDefault="00AD5D4D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</w:tr>
      <w:tr w:rsidR="00AD5D4D" w:rsidRPr="00F133C0" w:rsidTr="00384073">
        <w:trPr>
          <w:trHeight w:val="221"/>
        </w:trPr>
        <w:tc>
          <w:tcPr>
            <w:tcW w:w="3150" w:type="dxa"/>
            <w:shd w:val="clear" w:color="auto" w:fill="F2F2F2" w:themeFill="background1" w:themeFillShade="F2"/>
          </w:tcPr>
          <w:p w:rsidR="00AD5D4D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Biology</w:t>
            </w:r>
          </w:p>
        </w:tc>
        <w:tc>
          <w:tcPr>
            <w:tcW w:w="2783" w:type="dxa"/>
            <w:shd w:val="clear" w:color="auto" w:fill="F2F2F2" w:themeFill="background1" w:themeFillShade="F2"/>
          </w:tcPr>
          <w:p w:rsidR="00AD5D4D" w:rsidRDefault="00640CE5" w:rsidP="00640CE5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0.30 (0.24 – 0.36)   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D5D4D" w:rsidRDefault="00AD5D4D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  <w:tc>
          <w:tcPr>
            <w:tcW w:w="1759" w:type="dxa"/>
            <w:shd w:val="clear" w:color="auto" w:fill="F2F2F2" w:themeFill="background1" w:themeFillShade="F2"/>
          </w:tcPr>
          <w:p w:rsidR="00AD5D4D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0.27 (0.21 – 0.33)</w:t>
            </w:r>
          </w:p>
        </w:tc>
        <w:tc>
          <w:tcPr>
            <w:tcW w:w="933" w:type="dxa"/>
            <w:shd w:val="clear" w:color="auto" w:fill="F2F2F2" w:themeFill="background1" w:themeFillShade="F2"/>
          </w:tcPr>
          <w:p w:rsidR="00AD5D4D" w:rsidRDefault="00AD5D4D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</w:tr>
      <w:tr w:rsidR="00640CE5" w:rsidRPr="00F133C0" w:rsidTr="00384073">
        <w:trPr>
          <w:trHeight w:val="221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Chemistry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Economics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Engineering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Geology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History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Linguistics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Mathematics / Physics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Psychology</w:t>
            </w:r>
          </w:p>
          <w:p w:rsidR="00640CE5" w:rsidRDefault="00640CE5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Sociology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0.46 (0.39 – 0.53)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-0.09 (-0.17 – -0.01)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0.32 (0.25 – 0.38)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0.49 (0.39 – 0.60)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0.35 (0.27 – 0.44)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0.30 (0.22 – 0.38)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0.68 (0.62 – 0.75)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-0.13 (-0.20 – -0.05)</w:t>
            </w:r>
          </w:p>
          <w:p w:rsidR="00640CE5" w:rsidRDefault="00384073" w:rsidP="00384073">
            <w:pPr>
              <w:rPr>
                <w:rFonts w:ascii="CharterBT-Roman" w:hAnsi="CharterBT-Roman" w:cs="CharterBT-Roman"/>
                <w:sz w:val="17"/>
                <w:szCs w:val="17"/>
                <w:lang w:val="en-GB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       </w:t>
            </w:r>
            <w:r w:rsidR="00640CE5"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-0.06 (-0.13 – 0.02)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0CE5" w:rsidRDefault="00640CE5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0.24 (0.17 – 0.31)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-0.01 (-0.09 – 0.06)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0.07 (0.00 – 0.13)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0.25 (0.14 – 0.35)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0.32 (0.24 – 0.40)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0.26 (0.18 – 0.34)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0.45 (0.39 – 0.52)</w:t>
            </w:r>
          </w:p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-0.08 (-0.15 – 0.00)</w:t>
            </w:r>
          </w:p>
          <w:p w:rsidR="00640CE5" w:rsidRPr="00640CE5" w:rsidRDefault="00640CE5" w:rsidP="00640CE5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0.01(-0.07 – 0.08)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40CE5" w:rsidRDefault="00640CE5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  <w:p w:rsidR="00640CE5" w:rsidRDefault="00640CE5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  <w:p w:rsidR="00640CE5" w:rsidRDefault="00640CE5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</w:p>
        </w:tc>
      </w:tr>
      <w:tr w:rsidR="00640CE5" w:rsidRPr="00384073" w:rsidTr="00384073">
        <w:trPr>
          <w:trHeight w:val="221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40CE5" w:rsidRDefault="00384073" w:rsidP="006C7BF8">
            <w:pPr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Application call deadline</w:t>
            </w:r>
          </w:p>
          <w:p w:rsidR="00384073" w:rsidRDefault="00384073" w:rsidP="00384073">
            <w:pPr>
              <w:ind w:right="-372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</w:t>
            </w:r>
            <w:r w:rsidRPr="00384073"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Before introduction of new guidelines</w:t>
            </w:r>
          </w:p>
          <w:p w:rsidR="00384073" w:rsidRDefault="00384073" w:rsidP="00384073">
            <w:pPr>
              <w:ind w:right="-372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 xml:space="preserve">    After introduction of new guidelines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</w:p>
          <w:p w:rsidR="00384073" w:rsidRDefault="00384073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0.43 (0.40 – 0.47)</w:t>
            </w:r>
          </w:p>
          <w:p w:rsidR="00384073" w:rsidRDefault="00384073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40CE5" w:rsidRDefault="00384073" w:rsidP="00AD387A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40CE5" w:rsidRDefault="00640CE5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</w:p>
          <w:p w:rsidR="00384073" w:rsidRDefault="00384073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0.43 (0.40 – 0.46)</w:t>
            </w:r>
          </w:p>
          <w:p w:rsidR="00384073" w:rsidRDefault="00384073" w:rsidP="00AD387A">
            <w:pPr>
              <w:jc w:val="center"/>
              <w:rPr>
                <w:rFonts w:ascii="CharterBT-Roman" w:hAnsi="CharterBT-Roman" w:cs="CharterBT-Roman"/>
                <w:sz w:val="17"/>
                <w:szCs w:val="17"/>
                <w:lang w:val="en-US"/>
              </w:rPr>
            </w:pP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40CE5" w:rsidRDefault="00384073" w:rsidP="00AD5D4D">
            <w:pPr>
              <w:jc w:val="center"/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</w:pPr>
            <w:r>
              <w:rPr>
                <w:rFonts w:ascii="MathDesign-CH-Regular-T1-10" w:hAnsi="MathDesign-CH-Regular-T1-10" w:cs="MathDesign-CH-Regular-T1-10"/>
                <w:sz w:val="17"/>
                <w:szCs w:val="17"/>
                <w:lang w:val="en-US"/>
              </w:rPr>
              <w:t>&lt;</w:t>
            </w:r>
            <w:r>
              <w:rPr>
                <w:rFonts w:ascii="CharterBT-Roman" w:hAnsi="CharterBT-Roman" w:cs="CharterBT-Roman"/>
                <w:sz w:val="17"/>
                <w:szCs w:val="17"/>
                <w:lang w:val="en-US"/>
              </w:rPr>
              <w:t>0.001</w:t>
            </w:r>
          </w:p>
        </w:tc>
      </w:tr>
    </w:tbl>
    <w:p w:rsidR="001A7AF0" w:rsidRPr="00384073" w:rsidRDefault="006C7BF8" w:rsidP="00384073">
      <w:pPr>
        <w:autoSpaceDE w:val="0"/>
        <w:autoSpaceDN w:val="0"/>
        <w:adjustRightInd w:val="0"/>
        <w:spacing w:after="0" w:line="240" w:lineRule="auto"/>
        <w:rPr>
          <w:rFonts w:ascii="CharterBT-Roman" w:hAnsi="CharterBT-Roman" w:cs="CharterBT-Roman"/>
          <w:sz w:val="18"/>
          <w:szCs w:val="18"/>
          <w:lang w:val="en-US"/>
        </w:rPr>
      </w:pPr>
      <w:r w:rsidRPr="006C7BF8">
        <w:rPr>
          <w:rFonts w:ascii="CharterBT-Roman" w:hAnsi="CharterBT-Roman" w:cs="CharterBT-Italic"/>
          <w:i/>
          <w:iCs/>
          <w:sz w:val="18"/>
          <w:szCs w:val="18"/>
          <w:lang w:val="en-US"/>
        </w:rPr>
        <w:t xml:space="preserve">Notes. </w:t>
      </w:r>
      <w:proofErr w:type="spellStart"/>
      <w:r w:rsidRPr="006C7BF8">
        <w:rPr>
          <w:rFonts w:ascii="CharterBT-Roman" w:hAnsi="CharterBT-Roman" w:cs="CharterBT-Roman"/>
          <w:sz w:val="18"/>
          <w:szCs w:val="18"/>
          <w:lang w:val="en-US"/>
        </w:rPr>
        <w:t>Unadj</w:t>
      </w:r>
      <w:proofErr w:type="spellEnd"/>
      <w:r w:rsidRPr="006C7BF8">
        <w:rPr>
          <w:rFonts w:ascii="CharterBT-Roman" w:hAnsi="CharterBT-Roman" w:cs="CharterBT-Roman"/>
          <w:sz w:val="18"/>
          <w:szCs w:val="18"/>
          <w:lang w:val="en-US"/>
        </w:rPr>
        <w:t xml:space="preserve">. Effect </w:t>
      </w:r>
      <w:r w:rsidRPr="006C7BF8">
        <w:rPr>
          <w:rFonts w:ascii="CharterBT-Roman" w:hAnsi="CharterBT-Roman" w:cs="MathDesign-CH-Regular-T1-10"/>
          <w:sz w:val="18"/>
          <w:szCs w:val="18"/>
          <w:lang w:val="en-US"/>
        </w:rPr>
        <w:t xml:space="preserve">= 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 xml:space="preserve">unadjusted, crude effect; Adj. Effect </w:t>
      </w:r>
      <w:r w:rsidRPr="006C7BF8">
        <w:rPr>
          <w:rFonts w:ascii="CharterBT-Roman" w:hAnsi="CharterBT-Roman" w:cs="MathDesign-CH-Regular-T1-10"/>
          <w:sz w:val="18"/>
          <w:szCs w:val="18"/>
          <w:lang w:val="en-US"/>
        </w:rPr>
        <w:t xml:space="preserve">= 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 xml:space="preserve">adjusted effect; SE </w:t>
      </w:r>
      <w:r w:rsidRPr="006C7BF8">
        <w:rPr>
          <w:rFonts w:ascii="CharterBT-Roman" w:hAnsi="CharterBT-Roman" w:cs="MathDesign-CH-Regular-T1-10"/>
          <w:sz w:val="18"/>
          <w:szCs w:val="18"/>
          <w:lang w:val="en-US"/>
        </w:rPr>
        <w:t xml:space="preserve">= 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 xml:space="preserve">standard error; 95% CI </w:t>
      </w:r>
      <w:r w:rsidRPr="006C7BF8">
        <w:rPr>
          <w:rFonts w:ascii="CharterBT-Roman" w:hAnsi="CharterBT-Roman" w:cs="MathDesign-CH-Regular-T1-10"/>
          <w:sz w:val="18"/>
          <w:szCs w:val="18"/>
          <w:lang w:val="en-US"/>
        </w:rPr>
        <w:t xml:space="preserve">= </w:t>
      </w:r>
      <w:r>
        <w:rPr>
          <w:rFonts w:ascii="CharterBT-Roman" w:hAnsi="CharterBT-Roman" w:cs="CharterBT-Roman"/>
          <w:sz w:val="18"/>
          <w:szCs w:val="18"/>
          <w:lang w:val="en-US"/>
        </w:rPr>
        <w:t xml:space="preserve">95% confidence interval; 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 xml:space="preserve">*p </w:t>
      </w:r>
      <w:r w:rsidRPr="006C7BF8">
        <w:rPr>
          <w:rFonts w:ascii="CharterBT-Roman" w:hAnsi="CharterBT-Roman" w:cs="MathDesign-CH-Regular-T1-10"/>
          <w:sz w:val="18"/>
          <w:szCs w:val="18"/>
          <w:lang w:val="en-US"/>
        </w:rPr>
        <w:t xml:space="preserve">&lt; 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>.05 (t-test. t-values and degree</w:t>
      </w:r>
      <w:r>
        <w:rPr>
          <w:rFonts w:ascii="CharterBT-Roman" w:hAnsi="CharterBT-Roman" w:cs="CharterBT-Roman"/>
          <w:sz w:val="18"/>
          <w:szCs w:val="18"/>
          <w:lang w:val="en-US"/>
        </w:rPr>
        <w:t>s of freedom reported o</w:t>
      </w:r>
      <w:bookmarkStart w:id="0" w:name="_GoBack"/>
      <w:bookmarkEnd w:id="0"/>
      <w:r>
        <w:rPr>
          <w:rFonts w:ascii="CharterBT-Roman" w:hAnsi="CharterBT-Roman" w:cs="CharterBT-Roman"/>
          <w:sz w:val="18"/>
          <w:szCs w:val="18"/>
          <w:lang w:val="en-US"/>
        </w:rPr>
        <w:t xml:space="preserve">nline at </w:t>
      </w:r>
      <w:r w:rsidR="000D5182" w:rsidRPr="000D5182">
        <w:rPr>
          <w:rFonts w:ascii="CharterBT-Roman" w:hAnsi="CharterBT-Roman" w:cs="Times New Roman"/>
          <w:sz w:val="18"/>
          <w:szCs w:val="18"/>
          <w:lang w:val="en-US"/>
        </w:rPr>
        <w:t>www.git.io/fhaJx</w:t>
      </w:r>
      <w:r w:rsidRPr="006C7BF8">
        <w:rPr>
          <w:rFonts w:ascii="CharterBT-Roman" w:hAnsi="CharterBT-Roman" w:cs="CharterBT-Roman"/>
          <w:sz w:val="18"/>
          <w:szCs w:val="18"/>
          <w:lang w:val="en-US"/>
        </w:rPr>
        <w:t>)</w:t>
      </w:r>
      <w:r>
        <w:rPr>
          <w:rFonts w:ascii="CharterBT-Roman" w:hAnsi="CharterBT-Roman" w:cs="CharterBT-Roman"/>
          <w:sz w:val="18"/>
          <w:szCs w:val="18"/>
          <w:lang w:val="en-US"/>
        </w:rPr>
        <w:t xml:space="preserve">. </w:t>
      </w:r>
    </w:p>
    <w:sectPr w:rsidR="001A7AF0" w:rsidRPr="003840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Design-CH-Regular-T1-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BT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0"/>
    <w:rsid w:val="00074A27"/>
    <w:rsid w:val="000D5182"/>
    <w:rsid w:val="001A7AF0"/>
    <w:rsid w:val="00267394"/>
    <w:rsid w:val="00384073"/>
    <w:rsid w:val="003D4ADB"/>
    <w:rsid w:val="003F754C"/>
    <w:rsid w:val="00533F94"/>
    <w:rsid w:val="005D58E4"/>
    <w:rsid w:val="00640CE5"/>
    <w:rsid w:val="006C7BF8"/>
    <w:rsid w:val="00742AF3"/>
    <w:rsid w:val="00783121"/>
    <w:rsid w:val="007A4D54"/>
    <w:rsid w:val="00884BAA"/>
    <w:rsid w:val="008913E9"/>
    <w:rsid w:val="00AA7190"/>
    <w:rsid w:val="00AD387A"/>
    <w:rsid w:val="00AD5D4D"/>
    <w:rsid w:val="00EF2F2C"/>
    <w:rsid w:val="00F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C2C4"/>
  <w15:chartTrackingRefBased/>
  <w15:docId w15:val="{7F33390E-FAAC-426A-A8F2-0B843205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133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33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33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C7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Schweizerischer Nationalfonds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Matthias</dc:creator>
  <cp:keywords/>
  <dc:description/>
  <cp:lastModifiedBy>Severin Anna</cp:lastModifiedBy>
  <cp:revision>3</cp:revision>
  <dcterms:created xsi:type="dcterms:W3CDTF">2019-03-13T16:20:00Z</dcterms:created>
  <dcterms:modified xsi:type="dcterms:W3CDTF">2019-03-13T16:24:00Z</dcterms:modified>
</cp:coreProperties>
</file>