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99" w:rsidRPr="000A4C99" w:rsidRDefault="000A4C99" w:rsidP="000A4C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650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316507">
        <w:rPr>
          <w:rFonts w:ascii="Times New Roman" w:hAnsi="Times New Roman" w:cs="Times New Roman"/>
          <w:b/>
          <w:sz w:val="24"/>
          <w:szCs w:val="24"/>
        </w:rPr>
        <w:t>.</w:t>
      </w:r>
      <w:r w:rsidRPr="003165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A4C99">
        <w:rPr>
          <w:rFonts w:ascii="Times New Roman" w:hAnsi="Times New Roman" w:cs="Times New Roman"/>
          <w:b/>
          <w:sz w:val="24"/>
          <w:szCs w:val="24"/>
        </w:rPr>
        <w:t>E</w:t>
      </w:r>
      <w:r w:rsidRPr="000A4C99">
        <w:rPr>
          <w:rFonts w:ascii="Times New Roman" w:hAnsi="Times New Roman" w:cs="Times New Roman"/>
          <w:b/>
          <w:sz w:val="24"/>
          <w:szCs w:val="24"/>
        </w:rPr>
        <w:t xml:space="preserve">nvironmental </w:t>
      </w:r>
      <w:r w:rsidRPr="000A4C99">
        <w:rPr>
          <w:rFonts w:ascii="Times New Roman" w:hAnsi="Times New Roman" w:cs="Times New Roman"/>
          <w:b/>
          <w:sz w:val="24"/>
          <w:szCs w:val="24"/>
        </w:rPr>
        <w:t>C</w:t>
      </w:r>
      <w:r w:rsidRPr="000A4C99">
        <w:rPr>
          <w:rFonts w:ascii="Times New Roman" w:hAnsi="Times New Roman" w:cs="Times New Roman"/>
          <w:b/>
          <w:sz w:val="24"/>
          <w:szCs w:val="24"/>
        </w:rPr>
        <w:t>ovariates</w:t>
      </w:r>
      <w:r w:rsidRPr="000A4C99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0A4C99" w:rsidRPr="00316507" w:rsidRDefault="000A4C99" w:rsidP="000A4C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6507">
        <w:rPr>
          <w:rFonts w:ascii="Times New Roman" w:hAnsi="Times New Roman" w:cs="Times New Roman"/>
          <w:sz w:val="24"/>
          <w:szCs w:val="24"/>
        </w:rPr>
        <w:t>Description of environmental covariates included in the habitat models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507">
        <w:rPr>
          <w:rFonts w:ascii="Times New Roman" w:hAnsi="Times New Roman" w:cs="Times New Roman"/>
          <w:sz w:val="24"/>
          <w:szCs w:val="24"/>
        </w:rPr>
        <w:t>transformations applied to normalize variables.</w:t>
      </w:r>
    </w:p>
    <w:p w:rsidR="000A4C99" w:rsidRDefault="000A4C99" w:rsidP="000A4C99">
      <w:pPr>
        <w:spacing w:after="0" w:line="480" w:lineRule="auto"/>
      </w:pPr>
    </w:p>
    <w:tbl>
      <w:tblPr>
        <w:tblStyle w:val="TableGrid1"/>
        <w:tblW w:w="9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7"/>
        <w:gridCol w:w="1328"/>
        <w:gridCol w:w="1941"/>
        <w:gridCol w:w="2658"/>
        <w:gridCol w:w="2072"/>
      </w:tblGrid>
      <w:tr w:rsidR="000A4C99" w:rsidRPr="00074C21" w:rsidTr="004A6070">
        <w:trPr>
          <w:jc w:val="center"/>
        </w:trPr>
        <w:tc>
          <w:tcPr>
            <w:tcW w:w="1577" w:type="dxa"/>
          </w:tcPr>
          <w:p w:rsidR="000A4C99" w:rsidRPr="00074C21" w:rsidRDefault="000A4C99" w:rsidP="004A607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1328" w:type="dxa"/>
          </w:tcPr>
          <w:p w:rsidR="000A4C99" w:rsidRPr="00074C21" w:rsidRDefault="000A4C99" w:rsidP="004A607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Resolution</w:t>
            </w:r>
          </w:p>
        </w:tc>
        <w:tc>
          <w:tcPr>
            <w:tcW w:w="1941" w:type="dxa"/>
          </w:tcPr>
          <w:p w:rsidR="000A4C99" w:rsidRPr="00074C21" w:rsidRDefault="000A4C99" w:rsidP="004A6070">
            <w:pPr>
              <w:spacing w:line="480" w:lineRule="auto"/>
              <w:jc w:val="center"/>
              <w:rPr>
                <w:b/>
              </w:rPr>
            </w:pPr>
            <w:r w:rsidRPr="00074C21">
              <w:rPr>
                <w:b/>
              </w:rPr>
              <w:t>Description</w:t>
            </w:r>
          </w:p>
        </w:tc>
        <w:tc>
          <w:tcPr>
            <w:tcW w:w="2658" w:type="dxa"/>
          </w:tcPr>
          <w:p w:rsidR="000A4C99" w:rsidRPr="00074C21" w:rsidRDefault="000A4C99" w:rsidP="004A6070">
            <w:pPr>
              <w:spacing w:line="480" w:lineRule="auto"/>
              <w:jc w:val="center"/>
              <w:rPr>
                <w:b/>
              </w:rPr>
            </w:pPr>
            <w:r w:rsidRPr="00074C21">
              <w:rPr>
                <w:b/>
              </w:rPr>
              <w:t>Source</w:t>
            </w:r>
          </w:p>
        </w:tc>
        <w:tc>
          <w:tcPr>
            <w:tcW w:w="2072" w:type="dxa"/>
          </w:tcPr>
          <w:p w:rsidR="000A4C99" w:rsidRPr="00074C21" w:rsidRDefault="000A4C99" w:rsidP="004A607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Transformation*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DEPTH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t xml:space="preserve">3 </w:t>
            </w:r>
            <w:proofErr w:type="spellStart"/>
            <w:r>
              <w:t>arcsec</w:t>
            </w:r>
            <w:proofErr w:type="spellEnd"/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Bathymetry (m)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Log(-X)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D2S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0.04º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Distance to coastline (m)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t>Ocean Color Web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</w:pPr>
            <w:r>
              <w:rPr>
                <w:sz w:val="22"/>
              </w:rPr>
              <w:t>X^0.34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SLOPE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t xml:space="preserve">3 </w:t>
            </w:r>
            <w:proofErr w:type="spellStart"/>
            <w:r>
              <w:t>arcsec</w:t>
            </w:r>
            <w:proofErr w:type="spellEnd"/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Seafloor slope (</w:t>
            </w:r>
            <w:r>
              <w:rPr>
                <w:sz w:val="22"/>
                <w:szCs w:val="22"/>
              </w:rPr>
              <w:t>º</w:t>
            </w:r>
            <w:r w:rsidRPr="00074C21">
              <w:rPr>
                <w:sz w:val="22"/>
                <w:szCs w:val="22"/>
              </w:rPr>
              <w:t>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X^-0.178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D200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1’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 xml:space="preserve">Distance to 200 m </w:t>
            </w:r>
            <w:proofErr w:type="spellStart"/>
            <w:r w:rsidRPr="00074C21">
              <w:rPr>
                <w:sz w:val="22"/>
                <w:szCs w:val="22"/>
              </w:rPr>
              <w:t>isobath</w:t>
            </w:r>
            <w:proofErr w:type="spellEnd"/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X^0.34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D125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1’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Distance to 125 m </w:t>
            </w:r>
            <w:proofErr w:type="spellStart"/>
            <w:r>
              <w:rPr>
                <w:sz w:val="22"/>
                <w:szCs w:val="22"/>
              </w:rPr>
              <w:t>isobath</w:t>
            </w:r>
            <w:proofErr w:type="spellEnd"/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X^0.34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D1000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1’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 xml:space="preserve">Distance to 1000 m </w:t>
            </w:r>
            <w:proofErr w:type="spellStart"/>
            <w:r w:rsidRPr="00074C21">
              <w:rPr>
                <w:sz w:val="22"/>
                <w:szCs w:val="22"/>
              </w:rPr>
              <w:t>isobath</w:t>
            </w:r>
            <w:proofErr w:type="spellEnd"/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X^0.34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SST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E81882">
              <w:rPr>
                <w:sz w:val="22"/>
              </w:rPr>
              <w:t>0.05</w:t>
            </w:r>
            <w:r>
              <w:rPr>
                <w:sz w:val="22"/>
              </w:rPr>
              <w:t>º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Sea surface temperature (°C)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t>SST, GOES Imager, Day and Night, Western Hemisphere (8 Day Composite) NOAA NMFS SWFSC ERD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color w:val="211D1E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color w:val="211D1E"/>
              </w:rPr>
            </w:pPr>
          </w:p>
          <w:p w:rsidR="000A4C99" w:rsidRDefault="000A4C99" w:rsidP="004A6070">
            <w:pPr>
              <w:spacing w:line="480" w:lineRule="auto"/>
              <w:jc w:val="center"/>
            </w:pPr>
            <w:r w:rsidRPr="002B5D76">
              <w:rPr>
                <w:color w:val="211D1E"/>
              </w:rPr>
              <w:t>11605/(X+273.15)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LAT</w:t>
            </w:r>
          </w:p>
        </w:tc>
        <w:tc>
          <w:tcPr>
            <w:tcW w:w="1328" w:type="dxa"/>
            <w:vAlign w:val="center"/>
          </w:tcPr>
          <w:p w:rsidR="000A4C99" w:rsidRPr="00E81882" w:rsidRDefault="000A4C99" w:rsidP="004A6070">
            <w:pPr>
              <w:spacing w:line="480" w:lineRule="auto"/>
              <w:rPr>
                <w:sz w:val="22"/>
              </w:rPr>
            </w:pPr>
          </w:p>
        </w:tc>
        <w:tc>
          <w:tcPr>
            <w:tcW w:w="1941" w:type="dxa"/>
            <w:vAlign w:val="center"/>
          </w:tcPr>
          <w:p w:rsidR="000A4C99" w:rsidRPr="002140D2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Latitude </w:t>
            </w:r>
            <w:r w:rsidRPr="00074C2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º</w:t>
            </w:r>
            <w:r w:rsidRPr="00074C21">
              <w:rPr>
                <w:sz w:val="22"/>
                <w:szCs w:val="22"/>
              </w:rPr>
              <w:t>)</w:t>
            </w:r>
          </w:p>
        </w:tc>
        <w:tc>
          <w:tcPr>
            <w:tcW w:w="2658" w:type="dxa"/>
            <w:vAlign w:val="center"/>
          </w:tcPr>
          <w:p w:rsidR="000A4C99" w:rsidRDefault="000A4C99" w:rsidP="004A6070">
            <w:pPr>
              <w:spacing w:line="480" w:lineRule="auto"/>
              <w:rPr>
                <w:sz w:val="22"/>
              </w:rPr>
            </w:pP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CHL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E81882">
              <w:rPr>
                <w:sz w:val="22"/>
              </w:rPr>
              <w:t>0.0125</w:t>
            </w:r>
            <w:r>
              <w:rPr>
                <w:sz w:val="22"/>
              </w:rPr>
              <w:t>º</w:t>
            </w:r>
            <w:r w:rsidRPr="00E81882">
              <w:rPr>
                <w:sz w:val="22"/>
              </w:rPr>
              <w:t xml:space="preserve"> /0.04166</w:t>
            </w:r>
            <w:r>
              <w:rPr>
                <w:sz w:val="22"/>
              </w:rPr>
              <w:t>º</w:t>
            </w:r>
            <w:r w:rsidRPr="00E81882">
              <w:rPr>
                <w:sz w:val="22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0A4C99" w:rsidRPr="002140D2" w:rsidRDefault="000A4C99" w:rsidP="004A6070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 xml:space="preserve">Chlorophyll a </w:t>
            </w:r>
          </w:p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(mg m-3)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ERDDAP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1/(X+1)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PP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0.1º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Primary productivity (</w:t>
            </w:r>
            <w:proofErr w:type="spellStart"/>
            <w:r w:rsidRPr="002140D2">
              <w:rPr>
                <w:sz w:val="22"/>
              </w:rPr>
              <w:t>mgC</w:t>
            </w:r>
            <w:proofErr w:type="spellEnd"/>
            <w:r w:rsidRPr="002140D2">
              <w:rPr>
                <w:sz w:val="22"/>
              </w:rPr>
              <w:t xml:space="preserve"> m−2 yr−1)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ERDDAP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X^0.099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PIC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4 km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Particulate inorganic carbon (</w:t>
            </w:r>
            <w:proofErr w:type="spellStart"/>
            <w:r w:rsidRPr="002140D2">
              <w:rPr>
                <w:sz w:val="22"/>
              </w:rPr>
              <w:t>mol</w:t>
            </w:r>
            <w:proofErr w:type="spellEnd"/>
            <w:r w:rsidRPr="002140D2">
              <w:rPr>
                <w:sz w:val="22"/>
              </w:rPr>
              <w:t xml:space="preserve"> m-3)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ERDDAP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X^-0.31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POC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4 km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Particulate organic carbon (mg m-3)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ERDDAP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Log(X)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BTEMP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1/12º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Bottom temperature (°C)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HYCOM (</w:t>
            </w:r>
            <w:proofErr w:type="spellStart"/>
            <w:r>
              <w:t>Chassignet</w:t>
            </w:r>
            <w:proofErr w:type="spellEnd"/>
            <w:r>
              <w:t xml:space="preserve">, </w:t>
            </w:r>
            <w:r w:rsidRPr="00C217FD">
              <w:rPr>
                <w:i/>
              </w:rPr>
              <w:t>et al.,</w:t>
            </w:r>
            <w:r>
              <w:t xml:space="preserve"> 2007)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color w:val="211D1E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 w:rsidRPr="002B5D76">
              <w:rPr>
                <w:color w:val="211D1E"/>
              </w:rPr>
              <w:t>11605/(X+273.15)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SAL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1/12º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Salinity (</w:t>
            </w:r>
            <w:proofErr w:type="spellStart"/>
            <w:r w:rsidRPr="002140D2">
              <w:rPr>
                <w:sz w:val="22"/>
              </w:rPr>
              <w:t>psu</w:t>
            </w:r>
            <w:proofErr w:type="spellEnd"/>
            <w:r w:rsidRPr="002140D2">
              <w:rPr>
                <w:sz w:val="22"/>
              </w:rPr>
              <w:t>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HYCOM (</w:t>
            </w:r>
            <w:proofErr w:type="spellStart"/>
            <w:r>
              <w:t>Chassignet</w:t>
            </w:r>
            <w:proofErr w:type="spellEnd"/>
            <w:r>
              <w:t xml:space="preserve">, </w:t>
            </w:r>
            <w:r w:rsidRPr="00C217FD">
              <w:rPr>
                <w:i/>
              </w:rPr>
              <w:t>et al.,</w:t>
            </w:r>
            <w:r>
              <w:t xml:space="preserve"> 2007)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SLA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1/4º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Sea level anomaly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t>AVISO+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</w:pPr>
            <w:r>
              <w:rPr>
                <w:sz w:val="22"/>
              </w:rPr>
              <w:t>None</w:t>
            </w:r>
          </w:p>
        </w:tc>
      </w:tr>
      <w:tr w:rsidR="000A4C99" w:rsidRPr="00074C21" w:rsidTr="004A6070">
        <w:trPr>
          <w:jc w:val="center"/>
        </w:trPr>
        <w:tc>
          <w:tcPr>
            <w:tcW w:w="1577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MLD</w:t>
            </w:r>
          </w:p>
        </w:tc>
        <w:tc>
          <w:tcPr>
            <w:tcW w:w="132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1/12º</w:t>
            </w:r>
          </w:p>
        </w:tc>
        <w:tc>
          <w:tcPr>
            <w:tcW w:w="1941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Mix layer depth, depth at which the density changes from the surface by 0.03 kg/m3 (m</w:t>
            </w:r>
            <w:r>
              <w:rPr>
                <w:sz w:val="22"/>
              </w:rPr>
              <w:t>)</w:t>
            </w:r>
          </w:p>
        </w:tc>
        <w:tc>
          <w:tcPr>
            <w:tcW w:w="2658" w:type="dxa"/>
            <w:vAlign w:val="center"/>
          </w:tcPr>
          <w:p w:rsidR="000A4C99" w:rsidRPr="00074C21" w:rsidRDefault="000A4C99" w:rsidP="004A6070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HYCOM (</w:t>
            </w:r>
            <w:proofErr w:type="spellStart"/>
            <w:r>
              <w:t>Chassignet</w:t>
            </w:r>
            <w:proofErr w:type="spellEnd"/>
            <w:r>
              <w:t xml:space="preserve">, </w:t>
            </w:r>
            <w:r w:rsidRPr="00C217FD">
              <w:rPr>
                <w:i/>
              </w:rPr>
              <w:t>et al.,</w:t>
            </w:r>
            <w:r>
              <w:t xml:space="preserve"> 2007)</w:t>
            </w:r>
          </w:p>
        </w:tc>
        <w:tc>
          <w:tcPr>
            <w:tcW w:w="2072" w:type="dxa"/>
          </w:tcPr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</w:p>
          <w:p w:rsidR="000A4C99" w:rsidRDefault="000A4C99" w:rsidP="004A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Log(X)</w:t>
            </w:r>
          </w:p>
        </w:tc>
      </w:tr>
    </w:tbl>
    <w:p w:rsidR="000A4C99" w:rsidRDefault="000A4C99" w:rsidP="000A4C99">
      <w:pPr>
        <w:spacing w:line="480" w:lineRule="auto"/>
      </w:pPr>
      <w:r>
        <w:t>*</w:t>
      </w:r>
      <w:r w:rsidRPr="00A85B74">
        <w:rPr>
          <w:rFonts w:ascii="Times New Roman" w:hAnsi="Times New Roman" w:cs="Times New Roman"/>
        </w:rPr>
        <w:t>Transformations were only applied to covariates when using the BHSDM method</w:t>
      </w:r>
    </w:p>
    <w:p w:rsidR="000A4C99" w:rsidRDefault="000A4C99" w:rsidP="000A4C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283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40925" w:rsidRDefault="00140925"/>
    <w:sectPr w:rsidR="0014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99"/>
    <w:rsid w:val="000A4C99"/>
    <w:rsid w:val="001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4CB8"/>
  <w15:chartTrackingRefBased/>
  <w15:docId w15:val="{0E085D14-AF07-4232-B9D8-FED2CF39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A4C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Douglas.Sigourney</dc:creator>
  <cp:keywords/>
  <dc:description/>
  <cp:lastModifiedBy>Douglas.Sigourney</cp:lastModifiedBy>
  <cp:revision>1</cp:revision>
  <dcterms:created xsi:type="dcterms:W3CDTF">2018-12-06T22:09:00Z</dcterms:created>
  <dcterms:modified xsi:type="dcterms:W3CDTF">2018-12-06T22:11:00Z</dcterms:modified>
</cp:coreProperties>
</file>