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89" w:rsidRDefault="00B529BB" w:rsidP="00EF4B82">
      <w:pPr>
        <w:ind w:left="284" w:hanging="284"/>
        <w:rPr>
          <w:rFonts w:ascii="Times New Roman" w:hAnsi="Times New Roman" w:cs="Times New Roman"/>
          <w:b/>
          <w:sz w:val="32"/>
          <w:lang w:val="en-US"/>
        </w:rPr>
      </w:pPr>
      <w:r w:rsidRPr="00B529BB">
        <w:rPr>
          <w:rFonts w:ascii="Times New Roman" w:hAnsi="Times New Roman" w:cs="Times New Roman"/>
          <w:b/>
          <w:sz w:val="32"/>
          <w:lang w:val="en-US"/>
        </w:rPr>
        <w:t xml:space="preserve">Appendix </w:t>
      </w:r>
      <w:r w:rsidR="0028638B">
        <w:rPr>
          <w:rFonts w:ascii="Times New Roman" w:hAnsi="Times New Roman" w:cs="Times New Roman"/>
          <w:b/>
          <w:sz w:val="32"/>
          <w:lang w:val="en-US"/>
        </w:rPr>
        <w:t>B</w:t>
      </w:r>
      <w:bookmarkStart w:id="0" w:name="_GoBack"/>
      <w:bookmarkEnd w:id="0"/>
    </w:p>
    <w:p w:rsidR="00B529BB" w:rsidRPr="00B529BB" w:rsidRDefault="00B529BB" w:rsidP="00EF4B82">
      <w:pPr>
        <w:ind w:left="284" w:hanging="284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1475"/>
        <w:gridCol w:w="1324"/>
        <w:gridCol w:w="4636"/>
      </w:tblGrid>
      <w:tr w:rsidR="00062F84" w:rsidRPr="00062F84" w:rsidTr="00ED30B9">
        <w:trPr>
          <w:trHeight w:val="651"/>
        </w:trPr>
        <w:tc>
          <w:tcPr>
            <w:tcW w:w="2210" w:type="dxa"/>
            <w:tcBorders>
              <w:bottom w:val="single" w:sz="4" w:space="0" w:color="auto"/>
            </w:tcBorders>
          </w:tcPr>
          <w:p w:rsidR="0002581A" w:rsidRPr="00062F84" w:rsidRDefault="000258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81A" w:rsidRPr="00062F84" w:rsidRDefault="0002581A" w:rsidP="009029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E245B79" wp14:editId="73D6058C">
                  <wp:extent cx="613257" cy="278473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34" cy="29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81A" w:rsidRPr="00062F84" w:rsidRDefault="0002581A" w:rsidP="009029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749FCED5" wp14:editId="31CEAEB3">
                  <wp:extent cx="293019" cy="321019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60" cy="338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81A" w:rsidRPr="00062F84" w:rsidRDefault="0002581A" w:rsidP="00062F84">
            <w:pPr>
              <w:jc w:val="center"/>
              <w:rPr>
                <w:rFonts w:ascii="Times New Roman" w:hAnsi="Times New Roman" w:cs="Times New Roman"/>
                <w:noProof/>
                <w:lang w:val="en-US" w:eastAsia="fr-FR"/>
              </w:rPr>
            </w:pPr>
            <w:r w:rsidRPr="00062F84">
              <w:rPr>
                <w:rFonts w:ascii="Times New Roman" w:hAnsi="Times New Roman" w:cs="Times New Roman"/>
                <w:noProof/>
                <w:lang w:val="en-US" w:eastAsia="fr-FR"/>
              </w:rPr>
              <w:t>Reference</w:t>
            </w:r>
            <w:r w:rsidR="00062F84" w:rsidRPr="00062F84">
              <w:rPr>
                <w:rFonts w:ascii="Times New Roman" w:hAnsi="Times New Roman" w:cs="Times New Roman"/>
                <w:noProof/>
                <w:lang w:val="en-US" w:eastAsia="fr-FR"/>
              </w:rPr>
              <w:t>s</w:t>
            </w:r>
          </w:p>
        </w:tc>
      </w:tr>
      <w:tr w:rsidR="00062F84" w:rsidRPr="00062F84" w:rsidTr="00062F84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02581A" w:rsidRPr="00DF39AE" w:rsidRDefault="0002581A" w:rsidP="00062F84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F39AE">
              <w:rPr>
                <w:rFonts w:ascii="Times New Roman" w:hAnsi="Times New Roman" w:cs="Times New Roman"/>
                <w:i/>
                <w:lang w:val="en-US"/>
              </w:rPr>
              <w:t>Locomotion mode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02581A" w:rsidRPr="00062F84" w:rsidRDefault="0002581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Walker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2581A" w:rsidRPr="00062F84" w:rsidRDefault="0002581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Jumper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1A" w:rsidRPr="00062F84" w:rsidRDefault="00170B14" w:rsidP="00062F8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62F84">
              <w:rPr>
                <w:rFonts w:ascii="Times New Roman" w:hAnsi="Times New Roman" w:cs="Times New Roman"/>
              </w:rPr>
              <w:t>Astley</w:t>
            </w:r>
            <w:proofErr w:type="spellEnd"/>
            <w:r w:rsidR="008B3015" w:rsidRPr="00062F84">
              <w:rPr>
                <w:rFonts w:ascii="Times New Roman" w:hAnsi="Times New Roman" w:cs="Times New Roman"/>
              </w:rPr>
              <w:t xml:space="preserve">, 2016; Emerson, 1979; </w:t>
            </w:r>
            <w:proofErr w:type="spellStart"/>
            <w:r w:rsidR="00EF35A6" w:rsidRPr="00062F84">
              <w:rPr>
                <w:rFonts w:ascii="Times New Roman" w:hAnsi="Times New Roman" w:cs="Times New Roman"/>
              </w:rPr>
              <w:t>Taigen</w:t>
            </w:r>
            <w:proofErr w:type="spellEnd"/>
            <w:r w:rsidR="00EF35A6" w:rsidRPr="00062F84">
              <w:rPr>
                <w:rFonts w:ascii="Times New Roman" w:hAnsi="Times New Roman" w:cs="Times New Roman"/>
              </w:rPr>
              <w:t xml:space="preserve"> et al., 1982</w:t>
            </w:r>
          </w:p>
        </w:tc>
      </w:tr>
      <w:tr w:rsidR="0093140A" w:rsidRPr="00062F84" w:rsidTr="00062F84">
        <w:tc>
          <w:tcPr>
            <w:tcW w:w="3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40A" w:rsidRPr="00DF39AE" w:rsidRDefault="0093140A" w:rsidP="00062F84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F39AE">
              <w:rPr>
                <w:rFonts w:ascii="Times New Roman" w:hAnsi="Times New Roman" w:cs="Times New Roman"/>
                <w:i/>
                <w:lang w:val="en-US"/>
              </w:rPr>
              <w:t>Physiological parameters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140A" w:rsidRPr="00062F84" w:rsidTr="00062F84">
        <w:tc>
          <w:tcPr>
            <w:tcW w:w="2210" w:type="dxa"/>
            <w:tcBorders>
              <w:top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Endurance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3140A" w:rsidRPr="00062F84" w:rsidRDefault="004D5D16" w:rsidP="00062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Putnam and Bennett, 1981;</w:t>
            </w:r>
            <w:r w:rsidR="00486D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Zug, 1985</w:t>
            </w:r>
          </w:p>
        </w:tc>
      </w:tr>
      <w:tr w:rsidR="0093140A" w:rsidRPr="00062F84" w:rsidTr="00062F84">
        <w:tc>
          <w:tcPr>
            <w:tcW w:w="2210" w:type="dxa"/>
            <w:tcBorders>
              <w:bottom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Aerobic scope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3140A" w:rsidRPr="00062F84" w:rsidRDefault="00170B14" w:rsidP="00062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Bennett and Licht, 1973</w:t>
            </w:r>
            <w:r w:rsidR="008B3015" w:rsidRPr="00062F84">
              <w:rPr>
                <w:rFonts w:ascii="Times New Roman" w:hAnsi="Times New Roman" w:cs="Times New Roman"/>
                <w:lang w:val="en-US"/>
              </w:rPr>
              <w:t>; Carey, 1979</w:t>
            </w:r>
          </w:p>
        </w:tc>
      </w:tr>
      <w:tr w:rsidR="00062F84" w:rsidRPr="00062F84" w:rsidTr="00062F84">
        <w:tc>
          <w:tcPr>
            <w:tcW w:w="3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84" w:rsidRPr="00DF39AE" w:rsidRDefault="00062F84" w:rsidP="00062F84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F39AE">
              <w:rPr>
                <w:rFonts w:ascii="Times New Roman" w:hAnsi="Times New Roman" w:cs="Times New Roman"/>
                <w:i/>
                <w:lang w:val="en-US"/>
              </w:rPr>
              <w:t>Cellular characteristics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62F84" w:rsidRPr="00062F84" w:rsidRDefault="00062F84" w:rsidP="00062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62F84" w:rsidRPr="00062F84" w:rsidRDefault="00062F84" w:rsidP="00062F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140A" w:rsidRPr="00EF4B82" w:rsidTr="00486D71"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93140A" w:rsidRPr="00062F84" w:rsidRDefault="0093140A" w:rsidP="00486D71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Muscle fiber type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 xml:space="preserve">Same phenotype </w:t>
            </w:r>
          </w:p>
          <w:p w:rsidR="0093140A" w:rsidRP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(FOG/FG fibers)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Lutz and Lieber, 2000; Putnam and Bennett, 1983 (but see Sperry, 1981)</w:t>
            </w:r>
          </w:p>
        </w:tc>
      </w:tr>
      <w:tr w:rsidR="0093140A" w:rsidRPr="00062F84" w:rsidTr="00486D71">
        <w:tc>
          <w:tcPr>
            <w:tcW w:w="2210" w:type="dxa"/>
            <w:vAlign w:val="center"/>
          </w:tcPr>
          <w:p w:rsidR="0093140A" w:rsidRPr="00062F84" w:rsidRDefault="0093140A" w:rsidP="00486D71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Fatigue resistance</w:t>
            </w:r>
          </w:p>
        </w:tc>
        <w:tc>
          <w:tcPr>
            <w:tcW w:w="1421" w:type="dxa"/>
            <w:vAlign w:val="center"/>
          </w:tcPr>
          <w:p w:rsidR="0093140A" w:rsidRPr="00062F84" w:rsidRDefault="0093140A" w:rsidP="00486D7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high</w:t>
            </w:r>
          </w:p>
        </w:tc>
        <w:tc>
          <w:tcPr>
            <w:tcW w:w="1326" w:type="dxa"/>
            <w:vAlign w:val="center"/>
          </w:tcPr>
          <w:p w:rsidR="0093140A" w:rsidRPr="00062F84" w:rsidRDefault="0093140A" w:rsidP="00486D7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4677" w:type="dxa"/>
          </w:tcPr>
          <w:p w:rsidR="0093140A" w:rsidRPr="00062F84" w:rsidRDefault="00EF35A6" w:rsidP="00062F84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Chadwell et al., 2002</w:t>
            </w:r>
            <w:r w:rsidR="00170B14" w:rsidRPr="00062F8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="00170B14" w:rsidRPr="00062F84">
              <w:rPr>
                <w:rFonts w:ascii="Times New Roman" w:hAnsi="Times New Roman" w:cs="Times New Roman"/>
                <w:lang w:val="en-US"/>
              </w:rPr>
              <w:t>Sta</w:t>
            </w:r>
            <w:r w:rsidRPr="00062F84">
              <w:rPr>
                <w:rFonts w:ascii="Times New Roman" w:hAnsi="Times New Roman" w:cs="Times New Roman"/>
                <w:lang w:val="en-US"/>
              </w:rPr>
              <w:t>ry</w:t>
            </w:r>
            <w:proofErr w:type="spellEnd"/>
            <w:r w:rsidRPr="00062F84">
              <w:rPr>
                <w:rFonts w:ascii="Times New Roman" w:hAnsi="Times New Roman" w:cs="Times New Roman"/>
                <w:lang w:val="en-US"/>
              </w:rPr>
              <w:t xml:space="preserve"> et al., </w:t>
            </w:r>
            <w:r w:rsidR="00170B14" w:rsidRPr="00062F84">
              <w:rPr>
                <w:rFonts w:ascii="Times New Roman" w:hAnsi="Times New Roman" w:cs="Times New Roman"/>
                <w:lang w:val="en-US"/>
              </w:rPr>
              <w:t xml:space="preserve">2004; </w:t>
            </w:r>
            <w:proofErr w:type="spellStart"/>
            <w:r w:rsidR="0093140A" w:rsidRPr="00062F84">
              <w:rPr>
                <w:rFonts w:ascii="Times New Roman" w:hAnsi="Times New Roman" w:cs="Times New Roman"/>
                <w:lang w:val="en-US"/>
              </w:rPr>
              <w:t>Vydeska-Chichova</w:t>
            </w:r>
            <w:proofErr w:type="spellEnd"/>
            <w:r w:rsidR="0093140A" w:rsidRPr="00062F84">
              <w:rPr>
                <w:rFonts w:ascii="Times New Roman" w:hAnsi="Times New Roman" w:cs="Times New Roman"/>
                <w:lang w:val="en-US"/>
              </w:rPr>
              <w:t xml:space="preserve"> et al., 2005</w:t>
            </w:r>
          </w:p>
        </w:tc>
      </w:tr>
      <w:tr w:rsidR="0093140A" w:rsidRPr="00062F84" w:rsidTr="00486D71">
        <w:tc>
          <w:tcPr>
            <w:tcW w:w="2210" w:type="dxa"/>
            <w:vAlign w:val="center"/>
          </w:tcPr>
          <w:p w:rsidR="0093140A" w:rsidRPr="00062F84" w:rsidRDefault="0093140A" w:rsidP="00486D71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ATP production</w:t>
            </w:r>
          </w:p>
        </w:tc>
        <w:tc>
          <w:tcPr>
            <w:tcW w:w="1421" w:type="dxa"/>
            <w:vAlign w:val="center"/>
          </w:tcPr>
          <w:p w:rsidR="0093140A" w:rsidRPr="00062F84" w:rsidRDefault="00062F84" w:rsidP="00486D7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93140A" w:rsidRPr="00062F84">
              <w:rPr>
                <w:rFonts w:ascii="Times New Roman" w:hAnsi="Times New Roman" w:cs="Times New Roman"/>
                <w:lang w:val="en-US"/>
              </w:rPr>
              <w:t>itochondria</w:t>
            </w:r>
            <w:r w:rsidR="00486D71">
              <w:rPr>
                <w:rFonts w:ascii="Times New Roman" w:hAnsi="Times New Roman" w:cs="Times New Roman"/>
                <w:lang w:val="en-US"/>
              </w:rPr>
              <w:t>l OXPHOS</w:t>
            </w:r>
          </w:p>
        </w:tc>
        <w:tc>
          <w:tcPr>
            <w:tcW w:w="1326" w:type="dxa"/>
          </w:tcPr>
          <w:p w:rsidR="0093140A" w:rsidRPr="00062F84" w:rsidRDefault="0093140A" w:rsidP="00062F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Glycolytic pathways</w:t>
            </w:r>
          </w:p>
        </w:tc>
        <w:tc>
          <w:tcPr>
            <w:tcW w:w="4677" w:type="dxa"/>
          </w:tcPr>
          <w:p w:rsidR="0093140A" w:rsidRPr="00062F84" w:rsidRDefault="0093140A" w:rsidP="0093798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 xml:space="preserve">Desprat et al., 2017; Lutz and Rome, 1994; </w:t>
            </w:r>
            <w:proofErr w:type="spellStart"/>
            <w:r w:rsidRPr="00062F84">
              <w:rPr>
                <w:rFonts w:ascii="Times New Roman" w:hAnsi="Times New Roman" w:cs="Times New Roman"/>
                <w:lang w:val="en-US"/>
              </w:rPr>
              <w:t>Navas</w:t>
            </w:r>
            <w:proofErr w:type="spellEnd"/>
            <w:r w:rsidRPr="00062F84">
              <w:rPr>
                <w:rFonts w:ascii="Times New Roman" w:hAnsi="Times New Roman" w:cs="Times New Roman"/>
                <w:lang w:val="en-US"/>
              </w:rPr>
              <w:t xml:space="preserve"> et al., 2008; Putnam and Bennett, 1983</w:t>
            </w:r>
          </w:p>
        </w:tc>
      </w:tr>
      <w:tr w:rsidR="0093140A" w:rsidRPr="00EF4B82" w:rsidTr="00486D71"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93140A" w:rsidRPr="00062F84" w:rsidRDefault="00ED30B9" w:rsidP="00486D71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Major</w:t>
            </w:r>
            <w:r w:rsidR="0093140A" w:rsidRPr="00062F84">
              <w:rPr>
                <w:rFonts w:ascii="Times New Roman" w:hAnsi="Times New Roman" w:cs="Times New Roman"/>
                <w:lang w:val="en-US"/>
              </w:rPr>
              <w:t xml:space="preserve"> enzymes activities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3140A" w:rsidRPr="00062F84" w:rsidRDefault="0093140A" w:rsidP="00486D7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CS; COX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93140A" w:rsidRPr="00062F84" w:rsidRDefault="0093140A" w:rsidP="0096290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F84">
              <w:rPr>
                <w:rFonts w:ascii="Times New Roman" w:hAnsi="Times New Roman" w:cs="Times New Roman"/>
                <w:lang w:val="en-US"/>
              </w:rPr>
              <w:t>L</w:t>
            </w:r>
            <w:r w:rsidR="00962907">
              <w:rPr>
                <w:rFonts w:ascii="Times New Roman" w:hAnsi="Times New Roman" w:cs="Times New Roman"/>
                <w:lang w:val="en-US"/>
              </w:rPr>
              <w:t>D</w:t>
            </w:r>
            <w:r w:rsidRPr="00062F84">
              <w:rPr>
                <w:rFonts w:ascii="Times New Roman" w:hAnsi="Times New Roman" w:cs="Times New Roman"/>
                <w:lang w:val="en-US"/>
              </w:rPr>
              <w:t>H; PFK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3140A" w:rsidRPr="00062F84" w:rsidRDefault="0093140A" w:rsidP="00062F84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2F84">
              <w:rPr>
                <w:rFonts w:ascii="Times New Roman" w:hAnsi="Times New Roman" w:cs="Times New Roman"/>
                <w:lang w:val="en-US"/>
              </w:rPr>
              <w:t>Navas</w:t>
            </w:r>
            <w:proofErr w:type="spellEnd"/>
            <w:r w:rsidRPr="00062F84">
              <w:rPr>
                <w:rFonts w:ascii="Times New Roman" w:hAnsi="Times New Roman" w:cs="Times New Roman"/>
                <w:lang w:val="en-US"/>
              </w:rPr>
              <w:t xml:space="preserve"> et al., 2008; Putnam and Bennet, 1983 ; </w:t>
            </w:r>
            <w:proofErr w:type="spellStart"/>
            <w:r w:rsidRPr="00062F84">
              <w:rPr>
                <w:rFonts w:ascii="Times New Roman" w:hAnsi="Times New Roman" w:cs="Times New Roman"/>
                <w:lang w:val="en-US"/>
              </w:rPr>
              <w:t>Seebacher</w:t>
            </w:r>
            <w:proofErr w:type="spellEnd"/>
            <w:r w:rsidR="00937982">
              <w:rPr>
                <w:rFonts w:ascii="Times New Roman" w:hAnsi="Times New Roman" w:cs="Times New Roman"/>
                <w:lang w:val="en-US"/>
              </w:rPr>
              <w:t xml:space="preserve"> and Franklin, 2011</w:t>
            </w:r>
            <w:r w:rsidRPr="00062F84">
              <w:rPr>
                <w:rFonts w:ascii="Times New Roman" w:hAnsi="Times New Roman" w:cs="Times New Roman"/>
                <w:lang w:val="en-US"/>
              </w:rPr>
              <w:t>; Rogers et al., 2007</w:t>
            </w:r>
          </w:p>
        </w:tc>
      </w:tr>
    </w:tbl>
    <w:p w:rsidR="00B529BB" w:rsidRDefault="00B529BB" w:rsidP="006909C6">
      <w:pPr>
        <w:jc w:val="both"/>
        <w:rPr>
          <w:rFonts w:ascii="Times New Roman" w:hAnsi="Times New Roman" w:cs="Times New Roman"/>
          <w:b/>
          <w:lang w:val="en-US"/>
        </w:rPr>
      </w:pPr>
    </w:p>
    <w:p w:rsidR="0002581A" w:rsidRPr="00062F84" w:rsidRDefault="00486D71" w:rsidP="006909C6">
      <w:pPr>
        <w:jc w:val="both"/>
        <w:rPr>
          <w:rFonts w:ascii="Times New Roman" w:hAnsi="Times New Roman" w:cs="Times New Roman"/>
          <w:lang w:val="en-US"/>
        </w:rPr>
      </w:pPr>
      <w:r w:rsidRPr="00486D71">
        <w:rPr>
          <w:rFonts w:ascii="Times New Roman" w:hAnsi="Times New Roman" w:cs="Times New Roman"/>
          <w:b/>
          <w:lang w:val="en-US"/>
        </w:rPr>
        <w:t xml:space="preserve">Table </w:t>
      </w:r>
      <w:r w:rsidR="00B529BB">
        <w:rPr>
          <w:rFonts w:ascii="Times New Roman" w:hAnsi="Times New Roman" w:cs="Times New Roman"/>
          <w:b/>
          <w:lang w:val="en-US"/>
        </w:rPr>
        <w:t>1</w:t>
      </w:r>
      <w:r w:rsidRPr="00486D71">
        <w:rPr>
          <w:rFonts w:ascii="Times New Roman" w:hAnsi="Times New Roman" w:cs="Times New Roman"/>
          <w:b/>
          <w:lang w:val="en-US"/>
        </w:rPr>
        <w:t>: main physiological characteristics of anurans, depending on the two major locomotion modes.</w:t>
      </w:r>
      <w:r>
        <w:rPr>
          <w:rFonts w:ascii="Times New Roman" w:hAnsi="Times New Roman" w:cs="Times New Roman"/>
          <w:lang w:val="en-US"/>
        </w:rPr>
        <w:t xml:space="preserve"> Walking anurans are schematically described as endurance performers, with high aerobic capacities, due to a mainly oxidative metabolism, whereas jumper species are powered by anaerobic ATP production. </w:t>
      </w:r>
      <w:r w:rsidR="004639EB">
        <w:rPr>
          <w:rFonts w:ascii="Times New Roman" w:hAnsi="Times New Roman" w:cs="Times New Roman"/>
          <w:lang w:val="en-US"/>
        </w:rPr>
        <w:t>Interspecific d</w:t>
      </w:r>
      <w:r>
        <w:rPr>
          <w:rFonts w:ascii="Times New Roman" w:hAnsi="Times New Roman" w:cs="Times New Roman"/>
          <w:lang w:val="en-US"/>
        </w:rPr>
        <w:t>ispersal ability may be</w:t>
      </w:r>
      <w:r w:rsidR="004639EB">
        <w:rPr>
          <w:rFonts w:ascii="Times New Roman" w:hAnsi="Times New Roman" w:cs="Times New Roman"/>
          <w:lang w:val="en-US"/>
        </w:rPr>
        <w:t xml:space="preserve"> directly linked to locomotion mode, and intraspecific dispersal performances are more likely due to an enhanced metabolic efficiency.</w:t>
      </w:r>
      <w:r>
        <w:rPr>
          <w:rFonts w:ascii="Times New Roman" w:hAnsi="Times New Roman" w:cs="Times New Roman"/>
          <w:lang w:val="en-US"/>
        </w:rPr>
        <w:t xml:space="preserve"> </w:t>
      </w:r>
      <w:r w:rsidR="0002581A" w:rsidRPr="00062F84">
        <w:rPr>
          <w:rFonts w:ascii="Times New Roman" w:hAnsi="Times New Roman" w:cs="Times New Roman"/>
          <w:lang w:val="en-US"/>
        </w:rPr>
        <w:t xml:space="preserve">CS: Citrate synthase; </w:t>
      </w:r>
      <w:r w:rsidR="00062F84" w:rsidRPr="00062F84">
        <w:rPr>
          <w:rFonts w:ascii="Times New Roman" w:hAnsi="Times New Roman" w:cs="Times New Roman"/>
          <w:lang w:val="en-US"/>
        </w:rPr>
        <w:t xml:space="preserve">COX: Cytochrome-C-oxidase; </w:t>
      </w:r>
      <w:r w:rsidR="00ED30B9">
        <w:rPr>
          <w:rFonts w:ascii="Times New Roman" w:hAnsi="Times New Roman" w:cs="Times New Roman"/>
          <w:lang w:val="en-US"/>
        </w:rPr>
        <w:t>FG:</w:t>
      </w:r>
      <w:r w:rsidR="00ED30B9" w:rsidRPr="00ED30B9">
        <w:rPr>
          <w:rFonts w:ascii="Times New Roman" w:hAnsi="Times New Roman" w:cs="Times New Roman"/>
          <w:lang w:val="en-US"/>
        </w:rPr>
        <w:t xml:space="preserve"> </w:t>
      </w:r>
      <w:r w:rsidR="00ED30B9">
        <w:rPr>
          <w:rFonts w:ascii="Times New Roman" w:hAnsi="Times New Roman" w:cs="Times New Roman"/>
          <w:lang w:val="en-US"/>
        </w:rPr>
        <w:t xml:space="preserve">fast glycolytic; </w:t>
      </w:r>
      <w:r w:rsidR="00062F84">
        <w:rPr>
          <w:rFonts w:ascii="Times New Roman" w:hAnsi="Times New Roman" w:cs="Times New Roman"/>
          <w:lang w:val="en-US"/>
        </w:rPr>
        <w:t>FOG: fast</w:t>
      </w:r>
      <w:r w:rsidR="00ED30B9">
        <w:rPr>
          <w:rFonts w:ascii="Times New Roman" w:hAnsi="Times New Roman" w:cs="Times New Roman"/>
          <w:lang w:val="en-US"/>
        </w:rPr>
        <w:t xml:space="preserve"> oxidative</w:t>
      </w:r>
      <w:r w:rsidR="00062F84">
        <w:rPr>
          <w:rFonts w:ascii="Times New Roman" w:hAnsi="Times New Roman" w:cs="Times New Roman"/>
          <w:lang w:val="en-US"/>
        </w:rPr>
        <w:t xml:space="preserve"> glycolytic</w:t>
      </w:r>
      <w:r w:rsidR="00ED30B9">
        <w:rPr>
          <w:rFonts w:ascii="Times New Roman" w:hAnsi="Times New Roman" w:cs="Times New Roman"/>
          <w:lang w:val="en-US"/>
        </w:rPr>
        <w:t>;</w:t>
      </w:r>
      <w:r w:rsidR="00062F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2F84" w:rsidRPr="00062F84">
        <w:rPr>
          <w:rFonts w:ascii="Times New Roman" w:hAnsi="Times New Roman" w:cs="Times New Roman"/>
          <w:lang w:val="en-US"/>
        </w:rPr>
        <w:t>LdH</w:t>
      </w:r>
      <w:proofErr w:type="spellEnd"/>
      <w:r w:rsidR="00062F84" w:rsidRPr="00062F84">
        <w:rPr>
          <w:rFonts w:ascii="Times New Roman" w:hAnsi="Times New Roman" w:cs="Times New Roman"/>
          <w:lang w:val="en-US"/>
        </w:rPr>
        <w:t xml:space="preserve">: Lactate dehydrogenase; </w:t>
      </w:r>
      <w:r>
        <w:rPr>
          <w:rFonts w:ascii="Times New Roman" w:hAnsi="Times New Roman" w:cs="Times New Roman"/>
          <w:lang w:val="en-US"/>
        </w:rPr>
        <w:t xml:space="preserve">OXPHOS: Oxidative phosphorylation; </w:t>
      </w:r>
      <w:r w:rsidR="00062F84" w:rsidRPr="00062F84">
        <w:rPr>
          <w:rFonts w:ascii="Times New Roman" w:hAnsi="Times New Roman" w:cs="Times New Roman"/>
          <w:lang w:val="en-US"/>
        </w:rPr>
        <w:t>PFK: Phosphofructokinase</w:t>
      </w:r>
      <w:r w:rsidR="0075324E" w:rsidRPr="00062F84">
        <w:rPr>
          <w:rFonts w:ascii="Times New Roman" w:hAnsi="Times New Roman" w:cs="Times New Roman"/>
          <w:lang w:val="en-US"/>
        </w:rPr>
        <w:t xml:space="preserve"> </w:t>
      </w:r>
    </w:p>
    <w:p w:rsidR="00294037" w:rsidRDefault="00294037">
      <w:pPr>
        <w:rPr>
          <w:lang w:val="en-US"/>
        </w:rPr>
      </w:pPr>
    </w:p>
    <w:p w:rsidR="00294037" w:rsidRDefault="00637037" w:rsidP="00B529BB">
      <w:pPr>
        <w:spacing w:after="0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964CB9A">
            <wp:extent cx="2831436" cy="1981133"/>
            <wp:effectExtent l="0" t="0" r="762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59" cy="198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037" w:rsidRDefault="00294037" w:rsidP="00B529B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EF4B82" w:rsidRDefault="006909C6" w:rsidP="00B529B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909C6">
        <w:rPr>
          <w:rFonts w:ascii="Times New Roman" w:hAnsi="Times New Roman" w:cs="Times New Roman"/>
          <w:b/>
          <w:lang w:val="en-US"/>
        </w:rPr>
        <w:t xml:space="preserve">Figure </w:t>
      </w:r>
      <w:r w:rsidR="00B529BB">
        <w:rPr>
          <w:rFonts w:ascii="Times New Roman" w:hAnsi="Times New Roman" w:cs="Times New Roman"/>
          <w:b/>
          <w:lang w:val="en-US"/>
        </w:rPr>
        <w:t>1</w:t>
      </w:r>
      <w:r w:rsidRPr="006909C6">
        <w:rPr>
          <w:rFonts w:ascii="Times New Roman" w:hAnsi="Times New Roman" w:cs="Times New Roman"/>
          <w:b/>
          <w:lang w:val="en-US"/>
        </w:rPr>
        <w:t xml:space="preserve">: schematic overview of metabolic pathways and </w:t>
      </w:r>
      <w:r>
        <w:rPr>
          <w:rFonts w:ascii="Times New Roman" w:hAnsi="Times New Roman" w:cs="Times New Roman"/>
          <w:b/>
          <w:lang w:val="en-US"/>
        </w:rPr>
        <w:t xml:space="preserve">associated </w:t>
      </w:r>
      <w:r w:rsidRPr="006909C6">
        <w:rPr>
          <w:rFonts w:ascii="Times New Roman" w:hAnsi="Times New Roman" w:cs="Times New Roman"/>
          <w:b/>
          <w:lang w:val="en-US"/>
        </w:rPr>
        <w:t>key-enzymes likely used by amphibians during locomotion.</w:t>
      </w:r>
      <w:r w:rsidRPr="006909C6">
        <w:rPr>
          <w:rFonts w:ascii="Times New Roman" w:hAnsi="Times New Roman" w:cs="Times New Roman"/>
          <w:lang w:val="en-US"/>
        </w:rPr>
        <w:t xml:space="preserve"> CS: Citrate synthase; COX: Cytochrome-C-oxidase; </w:t>
      </w:r>
      <w:proofErr w:type="spellStart"/>
      <w:r w:rsidRPr="006909C6">
        <w:rPr>
          <w:rFonts w:ascii="Times New Roman" w:hAnsi="Times New Roman" w:cs="Times New Roman"/>
          <w:lang w:val="en-US"/>
        </w:rPr>
        <w:t>LdH</w:t>
      </w:r>
      <w:proofErr w:type="spellEnd"/>
      <w:r w:rsidRPr="006909C6">
        <w:rPr>
          <w:rFonts w:ascii="Times New Roman" w:hAnsi="Times New Roman" w:cs="Times New Roman"/>
          <w:lang w:val="en-US"/>
        </w:rPr>
        <w:t>: Lactate dehydrogenase; OXPHOS: Oxidative phosphorylation; PFK: Phosphofructokinase</w:t>
      </w:r>
      <w:r>
        <w:rPr>
          <w:rFonts w:ascii="Times New Roman" w:hAnsi="Times New Roman" w:cs="Times New Roman"/>
          <w:lang w:val="en-US"/>
        </w:rPr>
        <w:t>.</w:t>
      </w:r>
      <w:r w:rsidR="00EF4B82">
        <w:rPr>
          <w:rFonts w:ascii="Times New Roman" w:hAnsi="Times New Roman" w:cs="Times New Roman"/>
          <w:lang w:val="en-US"/>
        </w:rPr>
        <w:br w:type="page"/>
      </w:r>
    </w:p>
    <w:p w:rsidR="00294037" w:rsidRPr="00EF4B82" w:rsidRDefault="00EF4B82" w:rsidP="006909C6">
      <w:pPr>
        <w:jc w:val="both"/>
        <w:rPr>
          <w:rFonts w:ascii="Times New Roman" w:hAnsi="Times New Roman" w:cs="Times New Roman"/>
          <w:b/>
          <w:lang w:val="en-US"/>
        </w:rPr>
      </w:pPr>
      <w:r w:rsidRPr="00EF4B82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>Astley, H. C. (2016). The diversity and evolution of locomotor muscle properties in anurans. Journal of Experimental Biology 219, 3163-3173.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>Bennett, A. F. and Licht, P. (1973). Relative contributions of anaerobic and aerobic energy production during activity in Amphibia. Journal of Comparative Physiology A: Neuroethology, Sensory, Neural, and Behavioral Physiology 87, 351-360.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 xml:space="preserve">Chadwell, B. A., Hartwell, H. J. and Peters, S. E. (2002). Comparison of isometric contractile properties in hindlimb extensor muscles of the frogs Rana </w:t>
      </w:r>
      <w:proofErr w:type="spellStart"/>
      <w:r w:rsidRPr="00EF4B82">
        <w:rPr>
          <w:rFonts w:ascii="Times New Roman" w:hAnsi="Times New Roman" w:cs="Times New Roman"/>
          <w:lang w:val="en-US"/>
        </w:rPr>
        <w:t>pipiens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EF4B82">
        <w:rPr>
          <w:rFonts w:ascii="Times New Roman" w:hAnsi="Times New Roman" w:cs="Times New Roman"/>
          <w:lang w:val="en-US"/>
        </w:rPr>
        <w:t>Bufo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marinus: functional correlations with differences in hopping performance. J </w:t>
      </w:r>
      <w:proofErr w:type="spellStart"/>
      <w:r w:rsidRPr="00EF4B82">
        <w:rPr>
          <w:rFonts w:ascii="Times New Roman" w:hAnsi="Times New Roman" w:cs="Times New Roman"/>
          <w:lang w:val="en-US"/>
        </w:rPr>
        <w:t>Morphol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251, 309-22.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F4B82">
        <w:rPr>
          <w:rFonts w:ascii="Times New Roman" w:hAnsi="Times New Roman" w:cs="Times New Roman"/>
          <w:lang w:val="en-US"/>
        </w:rPr>
        <w:t>Desprat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J. L., </w:t>
      </w:r>
      <w:proofErr w:type="spellStart"/>
      <w:r w:rsidRPr="00EF4B82">
        <w:rPr>
          <w:rFonts w:ascii="Times New Roman" w:hAnsi="Times New Roman" w:cs="Times New Roman"/>
          <w:lang w:val="en-US"/>
        </w:rPr>
        <w:t>Teulier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L., </w:t>
      </w:r>
      <w:proofErr w:type="spellStart"/>
      <w:r w:rsidRPr="00EF4B82">
        <w:rPr>
          <w:rFonts w:ascii="Times New Roman" w:hAnsi="Times New Roman" w:cs="Times New Roman"/>
          <w:lang w:val="en-US"/>
        </w:rPr>
        <w:t>Puijalon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S., </w:t>
      </w:r>
      <w:proofErr w:type="spellStart"/>
      <w:r w:rsidRPr="00EF4B82">
        <w:rPr>
          <w:rFonts w:ascii="Times New Roman" w:hAnsi="Times New Roman" w:cs="Times New Roman"/>
          <w:lang w:val="en-US"/>
        </w:rPr>
        <w:t>Dumet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EF4B82">
        <w:rPr>
          <w:rFonts w:ascii="Times New Roman" w:hAnsi="Times New Roman" w:cs="Times New Roman"/>
          <w:lang w:val="en-US"/>
        </w:rPr>
        <w:t>Romestaing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C., Tattersall, G. J., </w:t>
      </w:r>
      <w:proofErr w:type="spellStart"/>
      <w:r w:rsidRPr="00EF4B82">
        <w:rPr>
          <w:rFonts w:ascii="Times New Roman" w:hAnsi="Times New Roman" w:cs="Times New Roman"/>
          <w:lang w:val="en-US"/>
        </w:rPr>
        <w:t>Lengagne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T. and </w:t>
      </w:r>
      <w:proofErr w:type="spellStart"/>
      <w:r w:rsidRPr="00EF4B82">
        <w:rPr>
          <w:rFonts w:ascii="Times New Roman" w:hAnsi="Times New Roman" w:cs="Times New Roman"/>
          <w:lang w:val="en-US"/>
        </w:rPr>
        <w:t>Mondy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N. (2017). Doping for sex: Bad for mitochondrial performances? Case of testosterone supplemented </w:t>
      </w:r>
      <w:proofErr w:type="spellStart"/>
      <w:r w:rsidRPr="00EF4B82">
        <w:rPr>
          <w:rFonts w:ascii="Times New Roman" w:hAnsi="Times New Roman" w:cs="Times New Roman"/>
          <w:lang w:val="en-US"/>
        </w:rPr>
        <w:t>Hyla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82">
        <w:rPr>
          <w:rFonts w:ascii="Times New Roman" w:hAnsi="Times New Roman" w:cs="Times New Roman"/>
          <w:lang w:val="en-US"/>
        </w:rPr>
        <w:t>arborea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during the courtship period. Comp </w:t>
      </w:r>
      <w:proofErr w:type="spellStart"/>
      <w:r w:rsidRPr="00EF4B82">
        <w:rPr>
          <w:rFonts w:ascii="Times New Roman" w:hAnsi="Times New Roman" w:cs="Times New Roman"/>
          <w:lang w:val="en-US"/>
        </w:rPr>
        <w:t>Biochem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82">
        <w:rPr>
          <w:rFonts w:ascii="Times New Roman" w:hAnsi="Times New Roman" w:cs="Times New Roman"/>
          <w:lang w:val="en-US"/>
        </w:rPr>
        <w:t>Physiol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F4B82">
        <w:rPr>
          <w:rFonts w:ascii="Times New Roman" w:hAnsi="Times New Roman" w:cs="Times New Roman"/>
          <w:lang w:val="en-US"/>
        </w:rPr>
        <w:t>A</w:t>
      </w:r>
      <w:proofErr w:type="gramEnd"/>
      <w:r w:rsidRPr="00EF4B82">
        <w:rPr>
          <w:rFonts w:ascii="Times New Roman" w:hAnsi="Times New Roman" w:cs="Times New Roman"/>
          <w:lang w:val="en-US"/>
        </w:rPr>
        <w:t xml:space="preserve"> Mol </w:t>
      </w:r>
      <w:proofErr w:type="spellStart"/>
      <w:r w:rsidRPr="00EF4B82">
        <w:rPr>
          <w:rFonts w:ascii="Times New Roman" w:hAnsi="Times New Roman" w:cs="Times New Roman"/>
          <w:lang w:val="en-US"/>
        </w:rPr>
        <w:t>Integr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82">
        <w:rPr>
          <w:rFonts w:ascii="Times New Roman" w:hAnsi="Times New Roman" w:cs="Times New Roman"/>
          <w:lang w:val="en-US"/>
        </w:rPr>
        <w:t>Physiol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209, 74-83.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 xml:space="preserve">Emerson, S. B. (1979). The ilio-sacral articulation in frogs: form and function. Biological Journal of the </w:t>
      </w:r>
      <w:proofErr w:type="spellStart"/>
      <w:r w:rsidRPr="00EF4B82">
        <w:rPr>
          <w:rFonts w:ascii="Times New Roman" w:hAnsi="Times New Roman" w:cs="Times New Roman"/>
          <w:lang w:val="en-US"/>
        </w:rPr>
        <w:t>Linnean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Society 11, 153-168.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>Gleeson, T. T. (1991). Patterns of metabolic recovery from exercise in amphibians and reptiles. Journal of Experimental Biology 160, 187-207.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>Lutz, G. and Rome, L. (1994). Built for jumping: the design of the frog muscular system. Science 263, 370-372.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>Lutz, G. J. and Lieber, R. L. (2000). Myosin isoforms in anuran skeletal muscle: Their influence on contractile properties and in vivo muscle function. Microscopy research and technique 50, 443-457.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 xml:space="preserve">Putnam, R. W. and Bennett, A. F. (1983). Histochemical, enzymatic, and contractile properties of skeletal muscles of three anuran amphibians. Am. J. </w:t>
      </w:r>
      <w:proofErr w:type="spellStart"/>
      <w:r w:rsidRPr="00EF4B82">
        <w:rPr>
          <w:rFonts w:ascii="Times New Roman" w:hAnsi="Times New Roman" w:cs="Times New Roman"/>
          <w:lang w:val="en-US"/>
        </w:rPr>
        <w:t>Physiol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244, R558-R567.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 xml:space="preserve">Rogers, K. D., Thompson, M. B. and </w:t>
      </w:r>
      <w:proofErr w:type="spellStart"/>
      <w:r w:rsidRPr="00EF4B82">
        <w:rPr>
          <w:rFonts w:ascii="Times New Roman" w:hAnsi="Times New Roman" w:cs="Times New Roman"/>
          <w:lang w:val="en-US"/>
        </w:rPr>
        <w:t>Seebacher</w:t>
      </w:r>
      <w:proofErr w:type="spellEnd"/>
      <w:r w:rsidRPr="00EF4B82">
        <w:rPr>
          <w:rFonts w:ascii="Times New Roman" w:hAnsi="Times New Roman" w:cs="Times New Roman"/>
          <w:lang w:val="en-US"/>
        </w:rPr>
        <w:t>, F. (2007). Beneficial acclimation: sex specific thermal acclimation of metabolic capacity in the striped marsh frog (</w:t>
      </w:r>
      <w:proofErr w:type="spellStart"/>
      <w:r w:rsidRPr="00EF4B82">
        <w:rPr>
          <w:rFonts w:ascii="Times New Roman" w:hAnsi="Times New Roman" w:cs="Times New Roman"/>
          <w:lang w:val="en-US"/>
        </w:rPr>
        <w:t>Limnodynastes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82">
        <w:rPr>
          <w:rFonts w:ascii="Times New Roman" w:hAnsi="Times New Roman" w:cs="Times New Roman"/>
          <w:lang w:val="en-US"/>
        </w:rPr>
        <w:t>peronii</w:t>
      </w:r>
      <w:proofErr w:type="spellEnd"/>
      <w:r w:rsidRPr="00EF4B82">
        <w:rPr>
          <w:rFonts w:ascii="Times New Roman" w:hAnsi="Times New Roman" w:cs="Times New Roman"/>
          <w:lang w:val="en-US"/>
        </w:rPr>
        <w:t>). J Exp Biol 210, 2932-8.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 xml:space="preserve">Sperry, D. G. (1981). Fiber type composition and </w:t>
      </w:r>
      <w:proofErr w:type="spellStart"/>
      <w:r w:rsidRPr="00EF4B82">
        <w:rPr>
          <w:rFonts w:ascii="Times New Roman" w:hAnsi="Times New Roman" w:cs="Times New Roman"/>
          <w:lang w:val="en-US"/>
        </w:rPr>
        <w:t>postmetamorphic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growth of anuran hindlimb muscles. Journal of Morphology 170, 321-345.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F4B82">
        <w:rPr>
          <w:rFonts w:ascii="Times New Roman" w:hAnsi="Times New Roman" w:cs="Times New Roman"/>
          <w:lang w:val="en-US"/>
        </w:rPr>
        <w:t>Stary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C. M., Mathieu-Costello, O. and Hogan, M. C. (2004). Resistance to fatigue of individual Xenopus single skeletal muscle </w:t>
      </w:r>
      <w:proofErr w:type="spellStart"/>
      <w:r w:rsidRPr="00EF4B82">
        <w:rPr>
          <w:rFonts w:ascii="Times New Roman" w:hAnsi="Times New Roman" w:cs="Times New Roman"/>
          <w:lang w:val="en-US"/>
        </w:rPr>
        <w:t>fibres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is correlated with mitochondrial volume density. Exp </w:t>
      </w:r>
      <w:proofErr w:type="spellStart"/>
      <w:r w:rsidRPr="00EF4B82">
        <w:rPr>
          <w:rFonts w:ascii="Times New Roman" w:hAnsi="Times New Roman" w:cs="Times New Roman"/>
          <w:lang w:val="en-US"/>
        </w:rPr>
        <w:t>Physiol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89, 617-21.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F4B82">
        <w:rPr>
          <w:rFonts w:ascii="Times New Roman" w:hAnsi="Times New Roman" w:cs="Times New Roman"/>
          <w:lang w:val="en-US"/>
        </w:rPr>
        <w:t>Taigen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T. L., Emerson, S. B. and </w:t>
      </w:r>
      <w:proofErr w:type="spellStart"/>
      <w:r w:rsidRPr="00EF4B82">
        <w:rPr>
          <w:rFonts w:ascii="Times New Roman" w:hAnsi="Times New Roman" w:cs="Times New Roman"/>
          <w:lang w:val="en-US"/>
        </w:rPr>
        <w:t>Pough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F. H. (1982). Ecological correlates of anuran exercise physiology. </w:t>
      </w:r>
      <w:proofErr w:type="spellStart"/>
      <w:r w:rsidRPr="00EF4B82">
        <w:rPr>
          <w:rFonts w:ascii="Times New Roman" w:hAnsi="Times New Roman" w:cs="Times New Roman"/>
          <w:lang w:val="en-US"/>
        </w:rPr>
        <w:t>Oecologia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52, 49-56.</w:t>
      </w:r>
    </w:p>
    <w:p w:rsidR="00EF4B82" w:rsidRPr="00EF4B82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F4B82">
        <w:rPr>
          <w:rFonts w:ascii="Times New Roman" w:hAnsi="Times New Roman" w:cs="Times New Roman"/>
          <w:lang w:val="en-US"/>
        </w:rPr>
        <w:t>Vydevska-Chichova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F4B82">
        <w:rPr>
          <w:rFonts w:ascii="Times New Roman" w:hAnsi="Times New Roman" w:cs="Times New Roman"/>
          <w:lang w:val="en-US"/>
        </w:rPr>
        <w:t>Mileva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K., Todorova, R., </w:t>
      </w:r>
      <w:proofErr w:type="spellStart"/>
      <w:r w:rsidRPr="00EF4B82">
        <w:rPr>
          <w:rFonts w:ascii="Times New Roman" w:hAnsi="Times New Roman" w:cs="Times New Roman"/>
          <w:lang w:val="en-US"/>
        </w:rPr>
        <w:t>Dimitrova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M. and </w:t>
      </w:r>
      <w:proofErr w:type="spellStart"/>
      <w:r w:rsidRPr="00EF4B82">
        <w:rPr>
          <w:rFonts w:ascii="Times New Roman" w:hAnsi="Times New Roman" w:cs="Times New Roman"/>
          <w:lang w:val="en-US"/>
        </w:rPr>
        <w:t>Radicheva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, N. (2005). Slow and fast fatigable frog muscle </w:t>
      </w:r>
      <w:proofErr w:type="spellStart"/>
      <w:r w:rsidRPr="00EF4B82">
        <w:rPr>
          <w:rFonts w:ascii="Times New Roman" w:hAnsi="Times New Roman" w:cs="Times New Roman"/>
          <w:lang w:val="en-US"/>
        </w:rPr>
        <w:t>fibres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: electrophysiological and histochemical characteristics. Gen </w:t>
      </w:r>
      <w:proofErr w:type="spellStart"/>
      <w:r w:rsidRPr="00EF4B82">
        <w:rPr>
          <w:rFonts w:ascii="Times New Roman" w:hAnsi="Times New Roman" w:cs="Times New Roman"/>
          <w:lang w:val="en-US"/>
        </w:rPr>
        <w:t>Physiol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82">
        <w:rPr>
          <w:rFonts w:ascii="Times New Roman" w:hAnsi="Times New Roman" w:cs="Times New Roman"/>
          <w:lang w:val="en-US"/>
        </w:rPr>
        <w:t>Biophys</w:t>
      </w:r>
      <w:proofErr w:type="spellEnd"/>
      <w:r w:rsidRPr="00EF4B82">
        <w:rPr>
          <w:rFonts w:ascii="Times New Roman" w:hAnsi="Times New Roman" w:cs="Times New Roman"/>
          <w:lang w:val="en-US"/>
        </w:rPr>
        <w:t xml:space="preserve"> 24, 381-96.</w:t>
      </w:r>
    </w:p>
    <w:p w:rsidR="00EF4B82" w:rsidRPr="006909C6" w:rsidRDefault="00EF4B82" w:rsidP="00EF4B82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EF4B82">
        <w:rPr>
          <w:rFonts w:ascii="Times New Roman" w:hAnsi="Times New Roman" w:cs="Times New Roman"/>
          <w:lang w:val="en-US"/>
        </w:rPr>
        <w:t xml:space="preserve">Zug, G. R. (1985). Anuran locomotion: fatigue and jumping performance. </w:t>
      </w:r>
      <w:proofErr w:type="spellStart"/>
      <w:r w:rsidRPr="00EF4B82">
        <w:rPr>
          <w:rFonts w:ascii="Times New Roman" w:hAnsi="Times New Roman" w:cs="Times New Roman"/>
          <w:lang w:val="en-US"/>
        </w:rPr>
        <w:t>Herpetologica</w:t>
      </w:r>
      <w:proofErr w:type="spellEnd"/>
      <w:r w:rsidRPr="00EF4B82">
        <w:rPr>
          <w:rFonts w:ascii="Times New Roman" w:hAnsi="Times New Roman" w:cs="Times New Roman"/>
          <w:lang w:val="en-US"/>
        </w:rPr>
        <w:t>, 188-194</w:t>
      </w:r>
    </w:p>
    <w:sectPr w:rsidR="00EF4B82" w:rsidRPr="0069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89"/>
    <w:rsid w:val="0002581A"/>
    <w:rsid w:val="00062F84"/>
    <w:rsid w:val="00170B14"/>
    <w:rsid w:val="001D1EEC"/>
    <w:rsid w:val="001E4E89"/>
    <w:rsid w:val="0028638B"/>
    <w:rsid w:val="00294037"/>
    <w:rsid w:val="004639EB"/>
    <w:rsid w:val="00486D71"/>
    <w:rsid w:val="004D5D16"/>
    <w:rsid w:val="00637037"/>
    <w:rsid w:val="006909C6"/>
    <w:rsid w:val="0075324E"/>
    <w:rsid w:val="007614A3"/>
    <w:rsid w:val="008B3015"/>
    <w:rsid w:val="009029FB"/>
    <w:rsid w:val="0093140A"/>
    <w:rsid w:val="00937982"/>
    <w:rsid w:val="00962907"/>
    <w:rsid w:val="00A9689D"/>
    <w:rsid w:val="00B529BB"/>
    <w:rsid w:val="00C2107F"/>
    <w:rsid w:val="00DF39AE"/>
    <w:rsid w:val="00ED30B9"/>
    <w:rsid w:val="00EF35A6"/>
    <w:rsid w:val="00EF4B82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37A8"/>
  <w15:chartTrackingRefBased/>
  <w15:docId w15:val="{7B4B01A8-42F5-478A-81AE-B32A2EA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Teulier</dc:creator>
  <cp:keywords/>
  <dc:description/>
  <cp:lastModifiedBy>Hugo Cayuela</cp:lastModifiedBy>
  <cp:revision>3</cp:revision>
  <dcterms:created xsi:type="dcterms:W3CDTF">2018-08-06T14:31:00Z</dcterms:created>
  <dcterms:modified xsi:type="dcterms:W3CDTF">2018-08-06T14:52:00Z</dcterms:modified>
</cp:coreProperties>
</file>