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81" w:rsidRPr="004914A0" w:rsidRDefault="00424281" w:rsidP="00424281">
      <w:pPr>
        <w:pStyle w:val="Caption"/>
        <w:keepNext/>
        <w:rPr>
          <w:color w:val="auto"/>
          <w:sz w:val="22"/>
          <w:szCs w:val="22"/>
        </w:rPr>
      </w:pPr>
      <w:r w:rsidRPr="004914A0">
        <w:rPr>
          <w:color w:val="auto"/>
          <w:sz w:val="22"/>
          <w:szCs w:val="22"/>
        </w:rPr>
        <w:t>Table</w:t>
      </w:r>
      <w:r w:rsidR="006475CE">
        <w:rPr>
          <w:color w:val="auto"/>
          <w:sz w:val="22"/>
          <w:szCs w:val="22"/>
        </w:rPr>
        <w:t xml:space="preserve"> S4</w:t>
      </w:r>
      <w:r w:rsidR="002A1AD7">
        <w:rPr>
          <w:color w:val="auto"/>
          <w:sz w:val="22"/>
          <w:szCs w:val="22"/>
        </w:rPr>
        <w:t>a</w:t>
      </w:r>
      <w:r w:rsidRPr="004914A0">
        <w:rPr>
          <w:color w:val="auto"/>
          <w:sz w:val="22"/>
          <w:szCs w:val="22"/>
        </w:rPr>
        <w:t>:</w:t>
      </w:r>
      <w:r w:rsidR="00644D54" w:rsidRPr="004914A0">
        <w:rPr>
          <w:color w:val="auto"/>
          <w:sz w:val="22"/>
          <w:szCs w:val="22"/>
        </w:rPr>
        <w:t xml:space="preserve"> </w:t>
      </w:r>
      <w:r w:rsidR="002A1AD7">
        <w:rPr>
          <w:color w:val="auto"/>
          <w:sz w:val="22"/>
          <w:szCs w:val="22"/>
        </w:rPr>
        <w:t>All s</w:t>
      </w:r>
      <w:r w:rsidR="00644D54" w:rsidRPr="004914A0">
        <w:rPr>
          <w:color w:val="auto"/>
          <w:sz w:val="22"/>
          <w:szCs w:val="22"/>
        </w:rPr>
        <w:t xml:space="preserve">tated organisms </w:t>
      </w:r>
      <w:r w:rsidR="002B6994" w:rsidRPr="004914A0">
        <w:rPr>
          <w:color w:val="auto"/>
          <w:sz w:val="22"/>
          <w:szCs w:val="22"/>
        </w:rPr>
        <w:t>in</w:t>
      </w:r>
      <w:r w:rsidR="00644D54" w:rsidRPr="004914A0">
        <w:rPr>
          <w:color w:val="auto"/>
          <w:sz w:val="22"/>
          <w:szCs w:val="22"/>
        </w:rPr>
        <w:t xml:space="preserve"> CAMI Low Complexity dataset, with presence in assembled contigs and Kelpie extended amplicons</w:t>
      </w:r>
      <w:r w:rsidR="00231BFB">
        <w:rPr>
          <w:color w:val="auto"/>
          <w:sz w:val="22"/>
          <w:szCs w:val="22"/>
        </w:rPr>
        <w:t>. The #</w:t>
      </w:r>
      <w:proofErr w:type="spellStart"/>
      <w:r w:rsidR="00231BFB">
        <w:rPr>
          <w:color w:val="auto"/>
          <w:sz w:val="22"/>
          <w:szCs w:val="22"/>
        </w:rPr>
        <w:t>strns</w:t>
      </w:r>
      <w:proofErr w:type="spellEnd"/>
      <w:r w:rsidR="00D52F5C" w:rsidRPr="004914A0">
        <w:rPr>
          <w:color w:val="auto"/>
          <w:sz w:val="22"/>
          <w:szCs w:val="22"/>
        </w:rPr>
        <w:t xml:space="preserve"> column is the stated number of strains present in the WGS reads, and the </w:t>
      </w:r>
      <w:proofErr w:type="spellStart"/>
      <w:r w:rsidR="00D52F5C" w:rsidRPr="004914A0">
        <w:rPr>
          <w:color w:val="auto"/>
          <w:sz w:val="22"/>
          <w:szCs w:val="22"/>
        </w:rPr>
        <w:t>Ab</w:t>
      </w:r>
      <w:r w:rsidR="00231BFB">
        <w:rPr>
          <w:color w:val="auto"/>
          <w:sz w:val="22"/>
          <w:szCs w:val="22"/>
        </w:rPr>
        <w:t>nd</w:t>
      </w:r>
      <w:proofErr w:type="spellEnd"/>
      <w:r w:rsidR="00231BFB">
        <w:rPr>
          <w:color w:val="auto"/>
          <w:sz w:val="22"/>
          <w:szCs w:val="22"/>
        </w:rPr>
        <w:t>.</w:t>
      </w:r>
      <w:r w:rsidR="00D52F5C" w:rsidRPr="004914A0">
        <w:rPr>
          <w:color w:val="auto"/>
          <w:sz w:val="22"/>
          <w:szCs w:val="22"/>
        </w:rPr>
        <w:t xml:space="preserve"> column is the total abundance for the specified organism (including all its strains).</w:t>
      </w:r>
      <w:r w:rsidR="00096C40" w:rsidRPr="004914A0">
        <w:rPr>
          <w:color w:val="auto"/>
          <w:sz w:val="22"/>
          <w:szCs w:val="22"/>
        </w:rPr>
        <w:t xml:space="preserve"> </w:t>
      </w:r>
      <w:r w:rsidR="006475CE" w:rsidRPr="006475CE">
        <w:rPr>
          <w:color w:val="auto"/>
          <w:sz w:val="22"/>
          <w:szCs w:val="22"/>
        </w:rPr>
        <w:t xml:space="preserve">This table is derived from the Excel spreadsheet ‘Kelpie - CAMI Low.xlsx’ which is available as </w:t>
      </w:r>
      <w:r w:rsidR="006475CE">
        <w:rPr>
          <w:color w:val="auto"/>
          <w:sz w:val="22"/>
          <w:szCs w:val="22"/>
        </w:rPr>
        <w:t>Suppl</w:t>
      </w:r>
      <w:r w:rsidR="00EF3B35">
        <w:rPr>
          <w:color w:val="auto"/>
          <w:sz w:val="22"/>
          <w:szCs w:val="22"/>
        </w:rPr>
        <w:t>e</w:t>
      </w:r>
      <w:r w:rsidR="006475CE">
        <w:rPr>
          <w:color w:val="auto"/>
          <w:sz w:val="22"/>
          <w:szCs w:val="22"/>
        </w:rPr>
        <w:t>mental Table</w:t>
      </w:r>
      <w:r w:rsidR="00EF3B35">
        <w:rPr>
          <w:color w:val="auto"/>
          <w:sz w:val="22"/>
          <w:szCs w:val="22"/>
        </w:rPr>
        <w:t xml:space="preserve"> S7</w:t>
      </w:r>
      <w:r w:rsidR="006475CE" w:rsidRPr="006475CE">
        <w:rPr>
          <w:color w:val="auto"/>
          <w:sz w:val="22"/>
          <w:szCs w:val="22"/>
        </w:rPr>
        <w:t>.</w:t>
      </w:r>
    </w:p>
    <w:tbl>
      <w:tblPr>
        <w:tblStyle w:val="TableGrid"/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1814"/>
        <w:gridCol w:w="624"/>
        <w:gridCol w:w="624"/>
        <w:gridCol w:w="3402"/>
        <w:gridCol w:w="624"/>
        <w:gridCol w:w="3402"/>
        <w:gridCol w:w="624"/>
      </w:tblGrid>
      <w:tr w:rsidR="0013165A" w:rsidRPr="00C26FE6" w:rsidTr="0013165A">
        <w:trPr>
          <w:trHeight w:val="290"/>
        </w:trPr>
        <w:tc>
          <w:tcPr>
            <w:tcW w:w="3628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CAMI Low Complexity Gold Profile</w:t>
            </w:r>
          </w:p>
        </w:tc>
        <w:tc>
          <w:tcPr>
            <w:tcW w:w="1814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 xml:space="preserve">Extracted v4 region from contigs 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Kelpie profile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Lineage</w:t>
            </w:r>
          </w:p>
        </w:tc>
        <w:tc>
          <w:tcPr>
            <w:tcW w:w="1814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species</w:t>
            </w:r>
          </w:p>
        </w:tc>
        <w:tc>
          <w:tcPr>
            <w:tcW w:w="624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#</w:t>
            </w:r>
            <w:proofErr w:type="spellStart"/>
            <w:r w:rsidRPr="002D1124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strn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</w:t>
            </w:r>
            <w:proofErr w:type="spellEnd"/>
          </w:p>
        </w:tc>
        <w:tc>
          <w:tcPr>
            <w:tcW w:w="624" w:type="dxa"/>
            <w:shd w:val="clear" w:color="auto" w:fill="F2F2F2" w:themeFill="background1" w:themeFillShade="F2"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Ab</w:t>
            </w: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nd</w:t>
            </w:r>
            <w:proofErr w:type="spellEnd"/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402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Species/strain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742BC5">
              <w:rPr>
                <w:rFonts w:ascii="Calibri" w:hAnsi="Calibri" w:cs="Calibri"/>
                <w:b/>
                <w:color w:val="000000"/>
                <w:sz w:val="20"/>
              </w:rPr>
              <w:t>Cov</w:t>
            </w:r>
            <w:proofErr w:type="spellEnd"/>
            <w:r w:rsidRPr="00742BC5">
              <w:rPr>
                <w:rFonts w:ascii="Calibri" w:hAnsi="Calibri" w:cs="Calibri"/>
                <w:b/>
                <w:color w:val="000000"/>
                <w:sz w:val="20"/>
              </w:rPr>
              <w:t>%</w:t>
            </w:r>
          </w:p>
        </w:tc>
        <w:tc>
          <w:tcPr>
            <w:tcW w:w="3402" w:type="dxa"/>
            <w:shd w:val="clear" w:color="auto" w:fill="F2F2F2" w:themeFill="background1" w:themeFillShade="F2"/>
            <w:hideMark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Species/strain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13165A" w:rsidRPr="002D1124" w:rsidRDefault="0013165A" w:rsidP="0013165A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Ab</w:t>
            </w: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nd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Firmicutes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Negativicutes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Selenomonadales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Veillonellaceae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Schwartzia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Schwartzia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succinivorans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23.9%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Schwartzia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succinivorans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S1-1 (NR 029325.1)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Schwartzia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succinivorans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S1-1 (NR 029325.1)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26.3%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Bacteroidetes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Sphingobacteriia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Sphingobacteriales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Chitinophagaceae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Hydrotalea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Hydrotalea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sandarakina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Hydrotalea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sandarakina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AF-51 (NR 109380.1)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Hydrotalea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sandarakina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AF-51 (NR 109380.1)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32.5%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Actinobacteria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Actinobacteria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Actinomycetales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Intrasporangiaceae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Tetrasphaera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Tetrasphaera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duodecadis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12.6%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Tetrasphaera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duodecadis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IAM 14868 (NR 040880.1)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Tetrasphaera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duodecadis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IAM 14868 (NR 040880.1)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10.9%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Tenericutes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Mollicutes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Anaeroplasmatales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Anaeroplasmataceae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Anaeroplasma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Anaeroplasma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bactoclasticum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9.9%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Firmicutes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Bacilli;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Bacillales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Bacillales_f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Bacillales_g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Bacillales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Exiguobacterium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acetylicum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DSM 20416 (NR 043479.1)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Exiguobacterium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acetylicum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DSM 20416 (NR 043479.1)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6.5%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Exiguobacterium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sibiricum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255-15 (NR 075006.1)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0.7%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Betaproteobacteria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Burkholderiales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Oxalobacteraceae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Janthinobacterium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Janthinobacterium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Massilia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namucuonensis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333-1-0411 (NR 118215.1)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Massilia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namucuonensis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333-1-0411 (NR 118215.1)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5.6%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Gammaproteobacteria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Pseudomonadales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Pseudomonadaceae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; Pseudomonas</w:t>
            </w:r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Pseudomonas aeruginosa</w:t>
            </w:r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Pseudomonas aeruginosa strain DSM 50071 (NR 117678.1)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Pseudomonas aeruginosa strain DSM 50071 (NR 117678.1)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4.3%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Pseudomonas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indica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IMT37 (NR 028801.1)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0.2%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13165A" w:rsidRPr="00EA3F26" w:rsidRDefault="0013165A" w:rsidP="001316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Pseudomonas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guangdongensis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SgZ-6 (NR 118458.1)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0.1%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Chloroflexi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Ktedonobacteria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Ktedonobacterales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Thermosporotrichaceae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Thermosporothrix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lastRenderedPageBreak/>
              <w:t>Thermosporothrix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hazakensis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Alphaproteobacteria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Rhodobacterales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Rhodobacteraceae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Paracoccus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Paracoccus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denitrificans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Paracoccus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denitrificans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381 (NR 026456.1)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Paracoccus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denitrificans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381 (NR 026456.1)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3.2%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Alphaproteobacteria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Rhodobacterales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Rhodobacteraceae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Defluviimonas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Defluviimonas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denitrificans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Defluviimonas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denitrificans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D9-3 (NR 115019.1)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Defluviimonas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denitrificans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D9-3 (NR 115019.1)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2.1%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Deltaproteobacteria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Desulfobacterales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Desulfobacteraceae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Desulfatibacillum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Desulfatibacillum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alkenivorans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Desulfatibacillum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alkenivorans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PF2803 (NR 025795.1)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Desulfatibacillum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alkenivorans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PF2803 (NR 025795.1)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1.8%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Actinobacteria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Actinobacteria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Actinomycetales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Actinomycetales_f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Actinomycetales_g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Actinomycetales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Williamsia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phyllosphaerae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C7 (NR 108495.1)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Williamsia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phyllosphaerae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C7 (NR 108495.1)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0.3%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Bacteroidetes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Sphingobacteriia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Sphingobacteriales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Chitinophagaceae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Flavisolibacter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Flavisolibacter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ginsengiterrae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  <w:r w:rsidRPr="00644D54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 xml:space="preserve"> (identical in V4 to next strain)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Bacteroidetes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Sphingobacteriia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Sphingobacteriales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Chitinophagaceae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Flavisolibacter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Flavisolibacter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ginsengisoli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Flavisolibacter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ginsengisoli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Gsoil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643 (NR 041500.1)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Flavisolibacter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ginsengisoli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Gsoil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643 (NR 041500.1)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3.6%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Betaproteobacteria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Neisseriales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Chromobacteriaceae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Andreprevotia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Andreprevotia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lacus</w:t>
            </w:r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Firmicutes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Clostridia;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Clostridiales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Peptostreptococcaceae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Tepidibacter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Tepidibacter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formicigenes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Tepidibacter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formicigenes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DV1184 (NR 029081.1)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Tepidibacter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formicigenes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DV1184 (NR 029081.1)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0.5%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Alphaproteobacteria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Rhodobacterales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Rhodobacteraceae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Albidovulum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Albidovulum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xiamenense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Albidovulum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xiamenense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YBY-7 (NR 118031.1)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Albidovulum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xiamenense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YBY-7 (NR 118031.1)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0.0%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Gammaproteobacteria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Xanthomonadales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Xanthomonadaceae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Xylella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Xylella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fastidiosa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Xylella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fastidiosa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PCE-FF (NR 041779.1)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Xylella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fastidiosa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PCE-FF (NR 041779.1)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0.7%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Betaproteobacteria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Burkholderiales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Comamonadaceae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Lampropedia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Lampropedia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hyalina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Lampropedia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hyalina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IAM 14890 (NR 040942.1)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Gammaproteobacteria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Xanthomonadales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Xanthomonadaceae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Lysobacter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Lysobacter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oryzae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Lysobacter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oryzae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YC6269 (N</w:t>
            </w:r>
            <w:bookmarkStart w:id="0" w:name="_GoBack"/>
            <w:bookmarkEnd w:id="0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 044484.1)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Lysobacter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oryzae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YC6269 (NR 044484.1)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  <w:r w:rsidRPr="002D1124">
              <w:rPr>
                <w:sz w:val="20"/>
              </w:rPr>
              <w:t>0.7%</w:t>
            </w: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Firmicutes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Clostridia;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Clostridiales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Proteinivoraceae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Anaerobranca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Anaerobranca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californiensis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Anaerobranca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zavarzinii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strain JW/VK-KS5Y (NR 044155.1)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Firmicutes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Clostridia;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Clostridiales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Clostridiaceae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; Clostridium</w:t>
            </w:r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Clostridium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caminithermale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Firmicutes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Clostridia;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Clostridiales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Clostridiaceae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Anaerosporobacter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Anaerosporobacter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mobilis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Bacteroidetes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Flavobacteriia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Flavobacteriales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Flavobacteriaceae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Nonlabens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Nonlabens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dokdonensis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Nonlabens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dokdonensis</w:t>
            </w:r>
            <w:proofErr w:type="spellEnd"/>
            <w:r w:rsidRPr="00C26F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(NR 102491.1)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165A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  <w:tr w:rsidR="0013165A" w:rsidRPr="00C26FE6" w:rsidTr="0013165A">
        <w:trPr>
          <w:trHeight w:val="290"/>
        </w:trPr>
        <w:tc>
          <w:tcPr>
            <w:tcW w:w="3628" w:type="dxa"/>
            <w:hideMark/>
          </w:tcPr>
          <w:p w:rsidR="0013165A" w:rsidRPr="00C26FE6" w:rsidRDefault="0013165A" w:rsidP="001316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Bacteria;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Gammaproteobacteria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Xanthomonadales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Xanthomonadaceae</w:t>
            </w:r>
            <w:proofErr w:type="spellEnd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26FE6">
              <w:rPr>
                <w:rFonts w:ascii="Calibri" w:hAnsi="Calibri"/>
                <w:color w:val="000000"/>
                <w:sz w:val="20"/>
                <w:szCs w:val="20"/>
              </w:rPr>
              <w:t>Rhodanobacter</w:t>
            </w:r>
            <w:proofErr w:type="spellEnd"/>
          </w:p>
        </w:tc>
        <w:tc>
          <w:tcPr>
            <w:tcW w:w="1814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Rhodanobacter</w:t>
            </w:r>
            <w:proofErr w:type="spellEnd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26FE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sp</w:t>
            </w:r>
            <w:proofErr w:type="spellEnd"/>
          </w:p>
        </w:tc>
        <w:tc>
          <w:tcPr>
            <w:tcW w:w="624" w:type="dxa"/>
            <w:hideMark/>
          </w:tcPr>
          <w:p w:rsidR="0013165A" w:rsidRPr="00D52F5C" w:rsidRDefault="0013165A" w:rsidP="0013165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52F5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24" w:type="dxa"/>
          </w:tcPr>
          <w:p w:rsidR="0013165A" w:rsidRPr="00EA3F26" w:rsidRDefault="0013165A" w:rsidP="001316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3F26">
              <w:rPr>
                <w:rFonts w:ascii="Calibri" w:hAnsi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v4 region not present/complete in contigs</w:t>
            </w:r>
          </w:p>
        </w:tc>
        <w:tc>
          <w:tcPr>
            <w:tcW w:w="624" w:type="dxa"/>
          </w:tcPr>
          <w:p w:rsidR="0013165A" w:rsidRPr="0013165A" w:rsidRDefault="0013165A" w:rsidP="001316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13165A" w:rsidRPr="00C26FE6" w:rsidRDefault="0013165A" w:rsidP="0013165A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no WGS reads</w:t>
            </w:r>
          </w:p>
        </w:tc>
        <w:tc>
          <w:tcPr>
            <w:tcW w:w="624" w:type="dxa"/>
          </w:tcPr>
          <w:p w:rsidR="0013165A" w:rsidRPr="002D1124" w:rsidRDefault="0013165A" w:rsidP="0013165A">
            <w:pPr>
              <w:rPr>
                <w:sz w:val="20"/>
              </w:rPr>
            </w:pPr>
          </w:p>
        </w:tc>
      </w:tr>
    </w:tbl>
    <w:p w:rsidR="0095026F" w:rsidRDefault="0095026F" w:rsidP="005F269C"/>
    <w:p w:rsidR="0095026F" w:rsidRDefault="0095026F" w:rsidP="0095026F">
      <w:r>
        <w:br w:type="page"/>
      </w:r>
    </w:p>
    <w:p w:rsidR="0095026F" w:rsidRPr="004914A0" w:rsidRDefault="0095026F" w:rsidP="0095026F">
      <w:pPr>
        <w:pStyle w:val="Caption"/>
        <w:keepNext/>
        <w:rPr>
          <w:color w:val="auto"/>
          <w:sz w:val="22"/>
          <w:szCs w:val="20"/>
        </w:rPr>
      </w:pPr>
      <w:r w:rsidRPr="004914A0">
        <w:rPr>
          <w:color w:val="auto"/>
          <w:sz w:val="22"/>
          <w:szCs w:val="20"/>
        </w:rPr>
        <w:lastRenderedPageBreak/>
        <w:t xml:space="preserve">Table </w:t>
      </w:r>
      <w:r w:rsidR="002A1AD7">
        <w:rPr>
          <w:color w:val="auto"/>
          <w:sz w:val="22"/>
          <w:szCs w:val="20"/>
        </w:rPr>
        <w:t>S4b</w:t>
      </w:r>
      <w:r w:rsidRPr="004914A0">
        <w:rPr>
          <w:color w:val="auto"/>
          <w:sz w:val="22"/>
          <w:szCs w:val="20"/>
        </w:rPr>
        <w:t xml:space="preserve">: CAMI Low </w:t>
      </w:r>
      <w:r w:rsidR="002B6994" w:rsidRPr="004914A0">
        <w:rPr>
          <w:color w:val="auto"/>
          <w:sz w:val="22"/>
          <w:szCs w:val="20"/>
        </w:rPr>
        <w:t xml:space="preserve">Complexity </w:t>
      </w:r>
      <w:r w:rsidRPr="004914A0">
        <w:rPr>
          <w:color w:val="auto"/>
          <w:sz w:val="22"/>
          <w:szCs w:val="20"/>
        </w:rPr>
        <w:t>dataset</w:t>
      </w:r>
      <w:r w:rsidR="002B6994" w:rsidRPr="004914A0">
        <w:rPr>
          <w:color w:val="auto"/>
          <w:sz w:val="22"/>
          <w:szCs w:val="20"/>
        </w:rPr>
        <w:t xml:space="preserve"> showing</w:t>
      </w:r>
      <w:r w:rsidRPr="004914A0">
        <w:rPr>
          <w:color w:val="auto"/>
          <w:sz w:val="22"/>
          <w:szCs w:val="20"/>
        </w:rPr>
        <w:t xml:space="preserve"> organisms with </w:t>
      </w:r>
      <w:r w:rsidR="0040085E">
        <w:rPr>
          <w:b/>
          <w:color w:val="auto"/>
          <w:sz w:val="22"/>
          <w:szCs w:val="20"/>
        </w:rPr>
        <w:t>extracted</w:t>
      </w:r>
      <w:r w:rsidRPr="002A1AD7">
        <w:rPr>
          <w:b/>
          <w:color w:val="auto"/>
          <w:sz w:val="22"/>
          <w:szCs w:val="20"/>
        </w:rPr>
        <w:t xml:space="preserve"> V4 regions only</w:t>
      </w:r>
      <w:r w:rsidRPr="004914A0">
        <w:rPr>
          <w:color w:val="auto"/>
          <w:sz w:val="22"/>
          <w:szCs w:val="20"/>
        </w:rPr>
        <w:t>. Stated abundance shown for CAMI dataset, and</w:t>
      </w:r>
      <w:r w:rsidR="00D05FF9" w:rsidRPr="004914A0">
        <w:rPr>
          <w:color w:val="auto"/>
          <w:sz w:val="22"/>
          <w:szCs w:val="20"/>
        </w:rPr>
        <w:t xml:space="preserve"> folded </w:t>
      </w:r>
      <w:r w:rsidRPr="004914A0">
        <w:rPr>
          <w:color w:val="auto"/>
          <w:sz w:val="22"/>
          <w:szCs w:val="20"/>
        </w:rPr>
        <w:t>relat</w:t>
      </w:r>
      <w:r w:rsidR="00D05FF9" w:rsidRPr="004914A0">
        <w:rPr>
          <w:color w:val="auto"/>
          <w:sz w:val="22"/>
          <w:szCs w:val="20"/>
        </w:rPr>
        <w:t>i</w:t>
      </w:r>
      <w:r w:rsidRPr="004914A0">
        <w:rPr>
          <w:color w:val="auto"/>
          <w:sz w:val="22"/>
          <w:szCs w:val="20"/>
        </w:rPr>
        <w:t>ve abundance</w:t>
      </w:r>
      <w:r w:rsidR="00D05FF9" w:rsidRPr="004914A0">
        <w:rPr>
          <w:color w:val="auto"/>
          <w:sz w:val="22"/>
          <w:szCs w:val="20"/>
        </w:rPr>
        <w:t xml:space="preserve"> for Kelpie amplicons. The folded abundance</w:t>
      </w:r>
      <w:r w:rsidR="007F1C32">
        <w:rPr>
          <w:color w:val="auto"/>
          <w:sz w:val="22"/>
          <w:szCs w:val="20"/>
        </w:rPr>
        <w:t>s</w:t>
      </w:r>
      <w:r w:rsidR="00D05FF9" w:rsidRPr="004914A0">
        <w:rPr>
          <w:color w:val="auto"/>
          <w:sz w:val="22"/>
          <w:szCs w:val="20"/>
        </w:rPr>
        <w:t xml:space="preserve"> </w:t>
      </w:r>
      <w:r w:rsidR="007F1C32">
        <w:rPr>
          <w:color w:val="auto"/>
          <w:sz w:val="22"/>
          <w:szCs w:val="20"/>
        </w:rPr>
        <w:t>are</w:t>
      </w:r>
      <w:r w:rsidR="00D05FF9" w:rsidRPr="004914A0">
        <w:rPr>
          <w:color w:val="auto"/>
          <w:sz w:val="22"/>
          <w:szCs w:val="20"/>
        </w:rPr>
        <w:t xml:space="preserve"> the sum</w:t>
      </w:r>
      <w:r w:rsidR="007F1C32">
        <w:rPr>
          <w:color w:val="auto"/>
          <w:sz w:val="22"/>
          <w:szCs w:val="20"/>
        </w:rPr>
        <w:t>s</w:t>
      </w:r>
      <w:r w:rsidR="00D05FF9" w:rsidRPr="004914A0">
        <w:rPr>
          <w:color w:val="auto"/>
          <w:sz w:val="22"/>
          <w:szCs w:val="20"/>
        </w:rPr>
        <w:t xml:space="preserve"> for a</w:t>
      </w:r>
      <w:r w:rsidR="007F1C32">
        <w:rPr>
          <w:color w:val="auto"/>
          <w:sz w:val="22"/>
          <w:szCs w:val="20"/>
        </w:rPr>
        <w:t>ll strains for a given organism, and are given both as number of extended reads mapped and a percentage of all the Kelpie-generated extended reads.</w:t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8"/>
        <w:gridCol w:w="794"/>
        <w:gridCol w:w="3855"/>
        <w:gridCol w:w="3855"/>
        <w:gridCol w:w="794"/>
        <w:gridCol w:w="794"/>
      </w:tblGrid>
      <w:tr w:rsidR="00231BFB" w:rsidRPr="0095026F" w:rsidTr="00C70F3F">
        <w:trPr>
          <w:trHeight w:val="288"/>
        </w:trPr>
        <w:tc>
          <w:tcPr>
            <w:tcW w:w="3288" w:type="dxa"/>
            <w:shd w:val="clear" w:color="auto" w:fill="F2F2F2" w:themeFill="background1" w:themeFillShade="F2"/>
            <w:noWrap/>
            <w:hideMark/>
          </w:tcPr>
          <w:p w:rsidR="00231BFB" w:rsidRPr="002D1124" w:rsidRDefault="00231BFB" w:rsidP="002D112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CAMI Low Complexity Gold Profile</w:t>
            </w:r>
          </w:p>
        </w:tc>
        <w:tc>
          <w:tcPr>
            <w:tcW w:w="794" w:type="dxa"/>
            <w:shd w:val="clear" w:color="auto" w:fill="F2F2F2" w:themeFill="background1" w:themeFillShade="F2"/>
            <w:noWrap/>
            <w:hideMark/>
          </w:tcPr>
          <w:p w:rsidR="00231BFB" w:rsidRPr="002D1124" w:rsidRDefault="00231BFB" w:rsidP="002D112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Stated</w:t>
            </w:r>
          </w:p>
        </w:tc>
        <w:tc>
          <w:tcPr>
            <w:tcW w:w="3855" w:type="dxa"/>
            <w:shd w:val="clear" w:color="auto" w:fill="F2F2F2" w:themeFill="background1" w:themeFillShade="F2"/>
            <w:noWrap/>
            <w:hideMark/>
          </w:tcPr>
          <w:p w:rsidR="00231BFB" w:rsidRPr="002D1124" w:rsidRDefault="00231BFB" w:rsidP="002D112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 xml:space="preserve">Extracted v4 region from contigs </w:t>
            </w:r>
          </w:p>
        </w:tc>
        <w:tc>
          <w:tcPr>
            <w:tcW w:w="3855" w:type="dxa"/>
            <w:shd w:val="clear" w:color="auto" w:fill="F2F2F2" w:themeFill="background1" w:themeFillShade="F2"/>
            <w:noWrap/>
            <w:hideMark/>
          </w:tcPr>
          <w:p w:rsidR="00231BFB" w:rsidRPr="002D1124" w:rsidRDefault="00231BFB" w:rsidP="002D112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Kelpie profile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231BFB" w:rsidRPr="001754E3" w:rsidRDefault="00231BFB" w:rsidP="002D112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 xml:space="preserve">Folded </w:t>
            </w:r>
          </w:p>
        </w:tc>
        <w:tc>
          <w:tcPr>
            <w:tcW w:w="794" w:type="dxa"/>
            <w:shd w:val="clear" w:color="auto" w:fill="F2F2F2" w:themeFill="background1" w:themeFillShade="F2"/>
            <w:noWrap/>
            <w:hideMark/>
          </w:tcPr>
          <w:p w:rsidR="00231BFB" w:rsidRPr="001754E3" w:rsidRDefault="00231BFB" w:rsidP="002D112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1754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Folded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shd w:val="clear" w:color="auto" w:fill="F2F2F2" w:themeFill="background1" w:themeFillShade="F2"/>
            <w:noWrap/>
            <w:hideMark/>
          </w:tcPr>
          <w:p w:rsidR="00231BFB" w:rsidRPr="002D1124" w:rsidRDefault="00231BFB" w:rsidP="002D112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Species</w:t>
            </w:r>
          </w:p>
        </w:tc>
        <w:tc>
          <w:tcPr>
            <w:tcW w:w="794" w:type="dxa"/>
            <w:shd w:val="clear" w:color="auto" w:fill="F2F2F2" w:themeFill="background1" w:themeFillShade="F2"/>
            <w:noWrap/>
            <w:hideMark/>
          </w:tcPr>
          <w:p w:rsidR="00231BFB" w:rsidRPr="002D1124" w:rsidRDefault="00231BFB" w:rsidP="002D112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Ab</w:t>
            </w: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nd</w:t>
            </w:r>
            <w:proofErr w:type="spellEnd"/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55" w:type="dxa"/>
            <w:shd w:val="clear" w:color="auto" w:fill="F2F2F2" w:themeFill="background1" w:themeFillShade="F2"/>
            <w:noWrap/>
            <w:hideMark/>
          </w:tcPr>
          <w:p w:rsidR="00231BFB" w:rsidRPr="002D1124" w:rsidRDefault="00231BFB" w:rsidP="002D112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Species/strain</w:t>
            </w:r>
          </w:p>
        </w:tc>
        <w:tc>
          <w:tcPr>
            <w:tcW w:w="3855" w:type="dxa"/>
            <w:shd w:val="clear" w:color="auto" w:fill="F2F2F2" w:themeFill="background1" w:themeFillShade="F2"/>
            <w:noWrap/>
            <w:hideMark/>
          </w:tcPr>
          <w:p w:rsidR="00231BFB" w:rsidRPr="002D1124" w:rsidRDefault="00231BFB" w:rsidP="002D1124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D11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AU"/>
              </w:rPr>
              <w:t>Species/strain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:rsidR="00231BFB" w:rsidRPr="001754E3" w:rsidRDefault="00231BFB" w:rsidP="002D112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Reads</w:t>
            </w:r>
          </w:p>
        </w:tc>
        <w:tc>
          <w:tcPr>
            <w:tcW w:w="794" w:type="dxa"/>
            <w:shd w:val="clear" w:color="auto" w:fill="F2F2F2" w:themeFill="background1" w:themeFillShade="F2"/>
            <w:noWrap/>
            <w:hideMark/>
          </w:tcPr>
          <w:p w:rsidR="00231BFB" w:rsidRPr="001754E3" w:rsidRDefault="00231BFB" w:rsidP="002D112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</w:pPr>
            <w:proofErr w:type="spellStart"/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Abund</w:t>
            </w:r>
            <w:proofErr w:type="spellEnd"/>
            <w:r w:rsidRPr="001754E3">
              <w:rPr>
                <w:rFonts w:ascii="Calibri" w:eastAsia="Times New Roman" w:hAnsi="Calibri" w:cs="Times New Roman"/>
                <w:b/>
                <w:sz w:val="20"/>
                <w:szCs w:val="20"/>
                <w:lang w:eastAsia="en-AU"/>
              </w:rPr>
              <w:t>.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Schwartzia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succinivorans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28.2%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Schwartzia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succinivorans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S1-1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029325.1)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Schwartzia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succinivorans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S1-1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029325.1)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615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26.3%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Hydrotalea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sandarakina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19.8%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Hydrotalea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sandarakina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AF-51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109380.1)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Hydrotalea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sandarakina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AF-51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109380.1)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759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32.5%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Tetrasphaera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duodecadis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14.9%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Tetrasphaera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duodecadis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IAM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14868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040880.1)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Tetrasphaera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duodecadis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IAM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14868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040880.1)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255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10.9%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Bacillales_sp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9.2%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Exiguobacterium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acetylicum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20416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043479.1)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Exiguobacterium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acetylicum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20416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043479.1)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169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7.2%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Janthinobacterium_sp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7.8%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Massilia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namucuonensis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333-1-0411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118215.1)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Massilia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namucuonensis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333-1-0411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118215.1)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132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5.6%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Pseudomonas aeruginosa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6.0%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Pseudomonas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aeruginosa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117678.1)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Pseudomonas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aeruginosa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DSM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117678.1)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108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4.6%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Paracoccus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denitrificans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3.7%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Paracoccus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denitrificans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026456.1)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Paracoccus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denitrificans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026456.1)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74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3.2%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Defluviimonas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denitrificans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3.0%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Defluviimonas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denitrificans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D9-3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115019.1)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Defluviimonas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denitrificans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D9-3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115019.1)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48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2.1%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Desulfatibacillum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alkenivorans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1.9%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Desulfatibacillum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alkenivorans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PF2803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025795.1)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Desulfatibacillum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alkenivorans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PF2803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025795.1)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42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Actinomycetales_sp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1.1%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Williamsia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phyllosphaerae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108495.1)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Williamsia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phyllosphaerae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108495.1)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8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Flavisolibacter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ginsengisoli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Flavisolibacter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ginsengisoli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Gsoil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041500.1)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Flavisolibacter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ginsengisoli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Gsoil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041500.1)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83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3.6%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Tepidibacter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formicigenes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0.7%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Tepidibacter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formicigenes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DV1184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029081.1)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Tepidibacter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formicigenes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DV1184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029081.1)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11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Albidovulum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xiamenense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Albidovulum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xiamenense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YBY-7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118031.1)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Albidovulum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xiamenense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YBY-7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118031.1)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1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Xylella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fastidiosa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Xylella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fastidiosa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PCE-FF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041779.1)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Xylella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fastidiosa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PCE-FF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041779.1)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17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0.7%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Lampropedia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hyalina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Lampropedia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hyalina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IAM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14890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040942.1)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lastRenderedPageBreak/>
              <w:t>Lysobacter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oryzae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Lysobacter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oryzae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YC6269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044484.1)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Lysobacter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oryzae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YC6269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044484.1)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  <w:r w:rsidRPr="007F1C32">
              <w:rPr>
                <w:sz w:val="20"/>
              </w:rPr>
              <w:t>16</w:t>
            </w: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0.7%</w:t>
            </w: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Anaerobranca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californiensis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Anaerobranca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zavarzinii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strain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JW/VK-KS5Y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044155.1)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31BFB" w:rsidRPr="0095026F" w:rsidTr="00C70F3F">
        <w:trPr>
          <w:trHeight w:val="288"/>
        </w:trPr>
        <w:tc>
          <w:tcPr>
            <w:tcW w:w="3288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Nonlabens</w:t>
            </w:r>
            <w:proofErr w:type="spellEnd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dokdonensis</w:t>
            </w:r>
            <w:proofErr w:type="spellEnd"/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0.1%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Nonlabens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dokdonensis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(NR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50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102491.1)</w:t>
            </w:r>
          </w:p>
        </w:tc>
        <w:tc>
          <w:tcPr>
            <w:tcW w:w="3855" w:type="dxa"/>
            <w:noWrap/>
            <w:hideMark/>
          </w:tcPr>
          <w:p w:rsidR="00231BFB" w:rsidRPr="0095026F" w:rsidRDefault="00231BFB" w:rsidP="007F1C32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3060B">
              <w:rPr>
                <w:rFonts w:ascii="Calibri" w:eastAsia="Times New Roman" w:hAnsi="Calibri" w:cs="Times New Roman"/>
                <w:i/>
                <w:iCs/>
                <w:color w:val="70AD47" w:themeColor="accent6"/>
                <w:sz w:val="20"/>
                <w:szCs w:val="20"/>
                <w:lang w:eastAsia="en-AU"/>
              </w:rPr>
              <w:t>incomplete WGS coverage of region</w:t>
            </w:r>
          </w:p>
        </w:tc>
        <w:tc>
          <w:tcPr>
            <w:tcW w:w="794" w:type="dxa"/>
          </w:tcPr>
          <w:p w:rsidR="00231BFB" w:rsidRPr="007F1C32" w:rsidRDefault="00231BFB" w:rsidP="007F1C32">
            <w:pPr>
              <w:rPr>
                <w:sz w:val="20"/>
              </w:rPr>
            </w:pPr>
          </w:p>
        </w:tc>
        <w:tc>
          <w:tcPr>
            <w:tcW w:w="794" w:type="dxa"/>
            <w:noWrap/>
            <w:hideMark/>
          </w:tcPr>
          <w:p w:rsidR="00231BFB" w:rsidRPr="0095026F" w:rsidRDefault="00231BFB" w:rsidP="007F1C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4B2784" w:rsidRDefault="004B2784" w:rsidP="005F269C"/>
    <w:sectPr w:rsidR="004B2784" w:rsidSect="009D49B8">
      <w:footerReference w:type="default" r:id="rId6"/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AC" w:rsidRDefault="008270AC" w:rsidP="002F5994">
      <w:pPr>
        <w:spacing w:after="0" w:line="240" w:lineRule="auto"/>
      </w:pPr>
      <w:r>
        <w:separator/>
      </w:r>
    </w:p>
  </w:endnote>
  <w:endnote w:type="continuationSeparator" w:id="0">
    <w:p w:rsidR="008270AC" w:rsidRDefault="008270AC" w:rsidP="002F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CE" w:rsidRDefault="006475CE">
    <w:pPr>
      <w:pStyle w:val="Footer"/>
    </w:pPr>
    <w:r>
      <w:t>Kelpie: CAMI Low Complexity Tables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165A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AC" w:rsidRDefault="008270AC" w:rsidP="002F5994">
      <w:pPr>
        <w:spacing w:after="0" w:line="240" w:lineRule="auto"/>
      </w:pPr>
      <w:r>
        <w:separator/>
      </w:r>
    </w:p>
  </w:footnote>
  <w:footnote w:type="continuationSeparator" w:id="0">
    <w:p w:rsidR="008270AC" w:rsidRDefault="008270AC" w:rsidP="002F5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98"/>
    <w:rsid w:val="00096C40"/>
    <w:rsid w:val="000E5FE4"/>
    <w:rsid w:val="00104260"/>
    <w:rsid w:val="0013165A"/>
    <w:rsid w:val="0023060B"/>
    <w:rsid w:val="00231BFB"/>
    <w:rsid w:val="002A1AD7"/>
    <w:rsid w:val="002B6994"/>
    <w:rsid w:val="002D1124"/>
    <w:rsid w:val="002F5994"/>
    <w:rsid w:val="00387CFD"/>
    <w:rsid w:val="0040085E"/>
    <w:rsid w:val="00424281"/>
    <w:rsid w:val="00445D92"/>
    <w:rsid w:val="004914A0"/>
    <w:rsid w:val="004B2784"/>
    <w:rsid w:val="00562817"/>
    <w:rsid w:val="005A672D"/>
    <w:rsid w:val="005F269C"/>
    <w:rsid w:val="005F7A8B"/>
    <w:rsid w:val="00644D54"/>
    <w:rsid w:val="006475CE"/>
    <w:rsid w:val="006A2918"/>
    <w:rsid w:val="006B0892"/>
    <w:rsid w:val="006B1E12"/>
    <w:rsid w:val="00787462"/>
    <w:rsid w:val="007B471A"/>
    <w:rsid w:val="007C147A"/>
    <w:rsid w:val="007F1C32"/>
    <w:rsid w:val="008270AC"/>
    <w:rsid w:val="00840A15"/>
    <w:rsid w:val="00910292"/>
    <w:rsid w:val="00931041"/>
    <w:rsid w:val="0095026F"/>
    <w:rsid w:val="009D49B8"/>
    <w:rsid w:val="00A23CB6"/>
    <w:rsid w:val="00B06B9E"/>
    <w:rsid w:val="00C26FE6"/>
    <w:rsid w:val="00CA0498"/>
    <w:rsid w:val="00CF285B"/>
    <w:rsid w:val="00D05FF9"/>
    <w:rsid w:val="00D52F5C"/>
    <w:rsid w:val="00D75982"/>
    <w:rsid w:val="00D9444A"/>
    <w:rsid w:val="00E37F71"/>
    <w:rsid w:val="00EA3F26"/>
    <w:rsid w:val="00EF3B35"/>
    <w:rsid w:val="00FB4FF3"/>
    <w:rsid w:val="00FE3DAF"/>
    <w:rsid w:val="00FE52B6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2FE6-F763-464D-A25D-6356A81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37F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994"/>
  </w:style>
  <w:style w:type="paragraph" w:styleId="Footer">
    <w:name w:val="footer"/>
    <w:basedOn w:val="Normal"/>
    <w:link w:val="FooterChar"/>
    <w:uiPriority w:val="99"/>
    <w:unhideWhenUsed/>
    <w:rsid w:val="002F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Greenfield, Paul (O&amp;A, North Ryde)</dc:creator>
  <cp:keywords/>
  <dc:description/>
  <cp:lastModifiedBy>Greenfield, Paul (O&amp;A, North Ryde)</cp:lastModifiedBy>
  <cp:revision>17</cp:revision>
  <dcterms:created xsi:type="dcterms:W3CDTF">2018-04-20T06:18:00Z</dcterms:created>
  <dcterms:modified xsi:type="dcterms:W3CDTF">2018-11-07T01:07:00Z</dcterms:modified>
</cp:coreProperties>
</file>