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E71" w:rsidRDefault="00721DD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Supplementary material 1</w:t>
      </w:r>
    </w:p>
    <w:p w:rsidR="000E5E71" w:rsidRDefault="000E5E7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E5E71" w:rsidRDefault="00721DD7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Features groups</w:t>
      </w:r>
    </w:p>
    <w:p w:rsidR="000E5E71" w:rsidRDefault="000E5E71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</w:p>
    <w:p w:rsidR="000E5E71" w:rsidRDefault="00721DD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DNA sequence</w:t>
      </w:r>
      <w:r>
        <w:rPr>
          <w:rFonts w:ascii="Times New Roman" w:hAnsi="Times New Roman" w:cs="Times New Roman"/>
          <w:sz w:val="24"/>
          <w:szCs w:val="24"/>
        </w:rPr>
        <w:t xml:space="preserve"> (52 variables):</w:t>
      </w:r>
    </w:p>
    <w:p w:rsidR="000E5E71" w:rsidRDefault="00721DD7">
      <w:pPr>
        <w:pStyle w:val="Bezodstpw"/>
        <w:rPr>
          <w:rFonts w:ascii="Times New Roman" w:eastAsia="Cardo" w:hAnsi="Times New Roman" w:cs="Times New Roman"/>
          <w:sz w:val="24"/>
          <w:szCs w:val="24"/>
        </w:rPr>
      </w:pPr>
      <w:r>
        <w:rPr>
          <w:rFonts w:ascii="Times New Roman" w:eastAsia="Cardo" w:hAnsi="Times New Roman" w:cs="Times New Roman"/>
          <w:sz w:val="24"/>
          <w:szCs w:val="24"/>
        </w:rPr>
        <w:t xml:space="preserve">We observed that the changes in DNA shape introduced by single-site mutations extend up to ± 4-nt, therefore motif sequence was extracted using the spanning window of 9 nucleotide </w:t>
      </w:r>
      <w:r>
        <w:rPr>
          <w:rFonts w:ascii="Times New Roman" w:eastAsia="Cardo" w:hAnsi="Times New Roman" w:cs="Times New Roman"/>
          <w:sz w:val="24"/>
          <w:szCs w:val="24"/>
        </w:rPr>
        <w:t>bases centered on the mutated nucleotide. The sequence was encoded using one-hot encoding, i.e. for each window position for binary variables were introduced indicating whether nucleotide at the given position is A, C, G or T. Similarly, 4 binary variables</w:t>
      </w:r>
      <w:r>
        <w:rPr>
          <w:rFonts w:ascii="Times New Roman" w:eastAsia="Cardo" w:hAnsi="Times New Roman" w:cs="Times New Roman"/>
          <w:sz w:val="24"/>
          <w:szCs w:val="24"/>
        </w:rPr>
        <w:t xml:space="preserve"> encoded the nucleotide at the central position in the mutated sequence. Additional 12 binary (4-nt by 3 mutations) variables indicated what type of mutation occurred, for example A → C, G → T, etc..</w:t>
      </w:r>
    </w:p>
    <w:p w:rsidR="000E5E71" w:rsidRDefault="000E5E7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E5E71" w:rsidRDefault="00721DD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Local DNA shape features</w:t>
      </w:r>
      <w:r>
        <w:rPr>
          <w:rFonts w:ascii="Times New Roman" w:hAnsi="Times New Roman" w:cs="Times New Roman"/>
          <w:sz w:val="24"/>
          <w:szCs w:val="24"/>
        </w:rPr>
        <w:t xml:space="preserve"> (88 variables):</w:t>
      </w:r>
    </w:p>
    <w:p w:rsidR="000E5E71" w:rsidRDefault="00721DD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retrieved h</w:t>
      </w:r>
      <w:r>
        <w:rPr>
          <w:rFonts w:ascii="Times New Roman" w:hAnsi="Times New Roman" w:cs="Times New Roman"/>
          <w:sz w:val="24"/>
          <w:szCs w:val="24"/>
        </w:rPr>
        <w:t>elix twist (</w:t>
      </w:r>
      <w:proofErr w:type="spellStart"/>
      <w:r>
        <w:rPr>
          <w:rFonts w:ascii="Times New Roman" w:hAnsi="Times New Roman" w:cs="Times New Roman"/>
          <w:sz w:val="24"/>
          <w:szCs w:val="24"/>
        </w:rPr>
        <w:t>HelT</w:t>
      </w:r>
      <w:proofErr w:type="spellEnd"/>
      <w:r>
        <w:rPr>
          <w:rFonts w:ascii="Times New Roman" w:hAnsi="Times New Roman" w:cs="Times New Roman"/>
          <w:sz w:val="24"/>
          <w:szCs w:val="24"/>
        </w:rPr>
        <w:t>), minor groove width (MGW), propeller twist (</w:t>
      </w:r>
      <w:proofErr w:type="spellStart"/>
      <w:r>
        <w:rPr>
          <w:rFonts w:ascii="Times New Roman" w:hAnsi="Times New Roman" w:cs="Times New Roman"/>
          <w:sz w:val="24"/>
          <w:szCs w:val="24"/>
        </w:rPr>
        <w:t>ProT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roll (Roll) values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DNAshapeR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tool (Chiu, et al., 2016). </w:t>
      </w:r>
      <w:proofErr w:type="spellStart"/>
      <w:r>
        <w:rPr>
          <w:rFonts w:ascii="Times New Roman" w:hAnsi="Times New Roman" w:cs="Times New Roman"/>
          <w:sz w:val="24"/>
          <w:szCs w:val="24"/>
        </w:rPr>
        <w:t>HelT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Roll vectors of values had length 6, MGW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length 5. These features were calculated separately for reference a</w:t>
      </w:r>
      <w:r>
        <w:rPr>
          <w:rFonts w:ascii="Times New Roman" w:hAnsi="Times New Roman" w:cs="Times New Roman"/>
          <w:sz w:val="24"/>
          <w:szCs w:val="24"/>
        </w:rPr>
        <w:t>nd mutated sequences. Additionally, for each position and each shape feature we added difference and product of the reference and the mutated variant as additional features.</w:t>
      </w:r>
    </w:p>
    <w:p w:rsidR="000E5E71" w:rsidRDefault="000E5E7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E5E71" w:rsidRDefault="00721DD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GC-content</w:t>
      </w:r>
      <w:r>
        <w:rPr>
          <w:rFonts w:ascii="Times New Roman" w:hAnsi="Times New Roman" w:cs="Times New Roman"/>
          <w:sz w:val="24"/>
          <w:szCs w:val="24"/>
        </w:rPr>
        <w:t xml:space="preserve"> (8 variables):</w:t>
      </w:r>
    </w:p>
    <w:p w:rsidR="000E5E71" w:rsidRDefault="00721DD7">
      <w:pPr>
        <w:pStyle w:val="Bezodstpw"/>
      </w:pPr>
      <w:r>
        <w:rPr>
          <w:rFonts w:ascii="Times New Roman" w:hAnsi="Times New Roman" w:cs="Times New Roman"/>
          <w:sz w:val="24"/>
          <w:szCs w:val="24"/>
        </w:rPr>
        <w:t xml:space="preserve">We calculated fractional GC-content in span of 7 and 9 </w:t>
      </w:r>
      <w:r>
        <w:rPr>
          <w:rFonts w:ascii="Times New Roman" w:hAnsi="Times New Roman" w:cs="Times New Roman"/>
          <w:sz w:val="24"/>
          <w:szCs w:val="24"/>
        </w:rPr>
        <w:t xml:space="preserve">nucleotide bases for reference and mutated sequences separately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Biopython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(Cock, et al., 2009). Distributions of GC-content scores for positive and negative motif sets were similar (the </w:t>
      </w:r>
      <w:r>
        <w:rPr>
          <w:rFonts w:ascii="Times New Roman" w:hAnsi="Times New Roman" w:cs="Times New Roman"/>
          <w:color w:val="00000A"/>
          <w:sz w:val="24"/>
          <w:szCs w:val="24"/>
        </w:rPr>
        <w:t>Kolmogorov–Smirnov two sample test results for GC content distrib</w:t>
      </w:r>
      <w:r>
        <w:rPr>
          <w:rFonts w:ascii="Times New Roman" w:hAnsi="Times New Roman" w:cs="Times New Roman"/>
          <w:color w:val="00000A"/>
          <w:sz w:val="24"/>
          <w:szCs w:val="24"/>
        </w:rPr>
        <w:t>utions are as follows D-</w:t>
      </w:r>
      <w:r>
        <w:rPr>
          <w:rFonts w:ascii="Times New Roman" w:hAnsi="Times New Roman" w:cs="Times New Roman"/>
          <w:color w:val="00000A"/>
          <w:sz w:val="24"/>
          <w:szCs w:val="24"/>
          <w:lang w:val="en-GB"/>
        </w:rPr>
        <w:t>statistic=0.02, p-value=0.48, null hypothesis of identical distributions retained). Differences and products of the reference and mutated GC-content scores were added as additional and potentially meaningful features.</w:t>
      </w:r>
    </w:p>
    <w:p w:rsidR="000E5E71" w:rsidRDefault="000E5E7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E5E71" w:rsidRDefault="00721DD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Histone modif</w:t>
      </w:r>
      <w:r>
        <w:rPr>
          <w:rFonts w:ascii="Times New Roman" w:hAnsi="Times New Roman" w:cs="Times New Roman"/>
          <w:b/>
          <w:i/>
          <w:sz w:val="24"/>
          <w:szCs w:val="24"/>
        </w:rPr>
        <w:t>ications</w:t>
      </w:r>
      <w:r>
        <w:rPr>
          <w:rFonts w:ascii="Times New Roman" w:hAnsi="Times New Roman" w:cs="Times New Roman"/>
          <w:sz w:val="24"/>
          <w:szCs w:val="24"/>
        </w:rPr>
        <w:t xml:space="preserve"> (38 variables):</w:t>
      </w:r>
    </w:p>
    <w:p w:rsidR="000E5E71" w:rsidRDefault="00721DD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used broad peaks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ChIP-seq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for histone 3 lysine 9 acetylation (H3K9ac) and histone 3 lysine 4 </w:t>
      </w:r>
      <w:proofErr w:type="spellStart"/>
      <w:r>
        <w:rPr>
          <w:rFonts w:ascii="Times New Roman" w:hAnsi="Times New Roman" w:cs="Times New Roman"/>
          <w:sz w:val="24"/>
          <w:szCs w:val="24"/>
        </w:rPr>
        <w:t>trimethylation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(H3K4me3) across 16 cell lines from ENCODE (Ram, et al., 2011). H3K9ac and H3K4me3 are the most common histone m</w:t>
      </w:r>
      <w:r>
        <w:rPr>
          <w:rFonts w:ascii="Times New Roman" w:hAnsi="Times New Roman" w:cs="Times New Roman"/>
          <w:sz w:val="24"/>
          <w:szCs w:val="24"/>
        </w:rPr>
        <w:t xml:space="preserve">odifications associated with active transcription of genes (Nishida, et al., 2006; Guenther, et al., 2007). For H3K9ac, H3K4me3 or either modification mean values over all cell lines and binary variables indicating modification occurrence in any cell line </w:t>
      </w:r>
      <w:r>
        <w:rPr>
          <w:rFonts w:ascii="Times New Roman" w:hAnsi="Times New Roman" w:cs="Times New Roman"/>
          <w:sz w:val="24"/>
          <w:szCs w:val="24"/>
        </w:rPr>
        <w:t>were added.</w:t>
      </w:r>
    </w:p>
    <w:p w:rsidR="000E5E71" w:rsidRDefault="000E5E7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E5E71" w:rsidRDefault="00721DD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Transcription Factor Binding Sites</w:t>
      </w:r>
      <w:r>
        <w:rPr>
          <w:rFonts w:ascii="Times New Roman" w:hAnsi="Times New Roman" w:cs="Times New Roman"/>
          <w:sz w:val="24"/>
          <w:szCs w:val="24"/>
        </w:rPr>
        <w:t xml:space="preserve"> (12 variables):</w:t>
      </w:r>
    </w:p>
    <w:p w:rsidR="000E5E71" w:rsidRDefault="00721DD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used TFBS clusters (V3) from ENCODE data retrieving binding sites of top 10 TFs with the highest binding site coverage: CEBPB, CTCF, EP300, FOS, GATA2, JUND, MAX, MYC, POLR2A, RAD21 (Gerste</w:t>
      </w:r>
      <w:r>
        <w:rPr>
          <w:rFonts w:ascii="Times New Roman" w:hAnsi="Times New Roman" w:cs="Times New Roman"/>
          <w:sz w:val="24"/>
          <w:szCs w:val="24"/>
        </w:rPr>
        <w:t>in, et al., 2012; Wang, et al., 2012; Lu, et al., 2015). Mean value over all TFs and 0-1 indicator of any TF occurrence were added in addition.</w:t>
      </w:r>
    </w:p>
    <w:p w:rsidR="000E5E71" w:rsidRDefault="000E5E7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E5E71" w:rsidRDefault="00721DD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Transcription factor binding disruption</w:t>
      </w:r>
      <w:r>
        <w:rPr>
          <w:rFonts w:ascii="Times New Roman" w:hAnsi="Times New Roman" w:cs="Times New Roman"/>
          <w:sz w:val="24"/>
          <w:szCs w:val="24"/>
        </w:rPr>
        <w:t xml:space="preserve"> (1 variable): </w:t>
      </w:r>
    </w:p>
    <w:p w:rsidR="000E5E71" w:rsidRDefault="00721DD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P-value of disrupting putative strongest transcription f</w:t>
      </w:r>
      <w:r>
        <w:rPr>
          <w:rFonts w:ascii="Times New Roman" w:hAnsi="Times New Roman" w:cs="Times New Roman"/>
          <w:sz w:val="24"/>
          <w:szCs w:val="24"/>
        </w:rPr>
        <w:t>actor binding site due to mutation was calculated with Annotation of Regulatory Variants using Integrated Networks (ARVIN) algorithm (</w:t>
      </w:r>
      <w:proofErr w:type="spellStart"/>
      <w:r>
        <w:rPr>
          <w:rFonts w:ascii="Times New Roman" w:hAnsi="Times New Roman" w:cs="Times New Roman"/>
          <w:sz w:val="24"/>
          <w:szCs w:val="24"/>
        </w:rPr>
        <w:t>Gao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et al., 2018) using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Cis</w:t>
      </w:r>
      <w:proofErr w:type="spellEnd"/>
      <w:r>
        <w:rPr>
          <w:rFonts w:ascii="Times New Roman" w:hAnsi="Times New Roman" w:cs="Times New Roman"/>
          <w:sz w:val="24"/>
          <w:szCs w:val="24"/>
        </w:rPr>
        <w:t>-BP database (</w:t>
      </w:r>
      <w:proofErr w:type="spellStart"/>
      <w:r>
        <w:rPr>
          <w:rFonts w:ascii="Times New Roman" w:hAnsi="Times New Roman" w:cs="Times New Roman"/>
          <w:sz w:val="24"/>
          <w:szCs w:val="24"/>
        </w:rPr>
        <w:t>Weirauch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al., 2014).</w:t>
      </w:r>
    </w:p>
    <w:p w:rsidR="000E5E71" w:rsidRDefault="000E5E7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E5E71" w:rsidRDefault="000E5E7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E5E71" w:rsidRDefault="000E5E71">
      <w:pPr>
        <w:pStyle w:val="Bezodstpw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E5E71" w:rsidRDefault="00264FC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Maximu</w:t>
      </w:r>
      <w:r w:rsidR="00721DD7">
        <w:rPr>
          <w:rFonts w:ascii="Times New Roman" w:hAnsi="Times New Roman" w:cs="Times New Roman"/>
          <w:b/>
          <w:i/>
          <w:sz w:val="24"/>
          <w:szCs w:val="24"/>
        </w:rPr>
        <w:t>m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t</w:t>
      </w:r>
      <w:r w:rsidR="00721DD7">
        <w:rPr>
          <w:rFonts w:ascii="Times New Roman" w:hAnsi="Times New Roman" w:cs="Times New Roman"/>
          <w:b/>
          <w:i/>
          <w:sz w:val="24"/>
          <w:szCs w:val="24"/>
        </w:rPr>
        <w:t>ranscription factor binding log-odds ratio score</w:t>
      </w:r>
      <w:r w:rsidR="00721DD7">
        <w:rPr>
          <w:rFonts w:ascii="Times New Roman" w:hAnsi="Times New Roman" w:cs="Times New Roman"/>
          <w:sz w:val="24"/>
          <w:szCs w:val="24"/>
        </w:rPr>
        <w:t xml:space="preserve"> (</w:t>
      </w:r>
      <w:r w:rsidR="00EB403A">
        <w:rPr>
          <w:rFonts w:ascii="Times New Roman" w:hAnsi="Times New Roman" w:cs="Times New Roman"/>
          <w:sz w:val="24"/>
          <w:szCs w:val="24"/>
        </w:rPr>
        <w:t>1 variable</w:t>
      </w:r>
      <w:r w:rsidR="00721DD7">
        <w:rPr>
          <w:rFonts w:ascii="Times New Roman" w:hAnsi="Times New Roman" w:cs="Times New Roman"/>
          <w:sz w:val="24"/>
          <w:szCs w:val="24"/>
        </w:rPr>
        <w:t>):</w:t>
      </w:r>
    </w:p>
    <w:p w:rsidR="000E5E71" w:rsidRDefault="00264FC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Maximum TF binding log-odds ratio score</w:t>
      </w:r>
      <w:r w:rsidR="00721DD7">
        <w:rPr>
          <w:rFonts w:ascii="Times New Roman" w:hAnsi="Times New Roman" w:cs="Times New Roman"/>
          <w:sz w:val="24"/>
          <w:szCs w:val="24"/>
        </w:rPr>
        <w:t xml:space="preserve"> for reference and mutated sequences </w:t>
      </w:r>
      <w:r w:rsidR="00EB403A">
        <w:rPr>
          <w:rFonts w:ascii="Times New Roman" w:hAnsi="Times New Roman" w:cs="Times New Roman"/>
          <w:sz w:val="24"/>
          <w:szCs w:val="24"/>
        </w:rPr>
        <w:t>among</w:t>
      </w:r>
      <w:r>
        <w:rPr>
          <w:rFonts w:ascii="Times New Roman" w:hAnsi="Times New Roman" w:cs="Times New Roman"/>
          <w:sz w:val="24"/>
          <w:szCs w:val="24"/>
        </w:rPr>
        <w:t xml:space="preserve"> scores </w:t>
      </w:r>
      <w:r w:rsidR="00721DD7">
        <w:rPr>
          <w:rFonts w:ascii="Times New Roman" w:hAnsi="Times New Roman" w:cs="Times New Roman"/>
          <w:sz w:val="24"/>
          <w:szCs w:val="24"/>
        </w:rPr>
        <w:t>calculated with Annotation of Regulatory Variants using Integrated Networks (ARVIN) algorithm (</w:t>
      </w:r>
      <w:proofErr w:type="spellStart"/>
      <w:r w:rsidR="00721DD7">
        <w:rPr>
          <w:rFonts w:ascii="Times New Roman" w:hAnsi="Times New Roman" w:cs="Times New Roman"/>
          <w:sz w:val="24"/>
          <w:szCs w:val="24"/>
        </w:rPr>
        <w:t>Gao</w:t>
      </w:r>
      <w:proofErr w:type="spellEnd"/>
      <w:r w:rsidR="00721DD7">
        <w:rPr>
          <w:rFonts w:ascii="Times New Roman" w:hAnsi="Times New Roman" w:cs="Times New Roman"/>
          <w:sz w:val="24"/>
          <w:szCs w:val="24"/>
        </w:rPr>
        <w:t xml:space="preserve">, et al., 2018) using </w:t>
      </w:r>
      <w:proofErr w:type="spellStart"/>
      <w:r w:rsidR="00721DD7">
        <w:rPr>
          <w:rFonts w:ascii="Times New Roman" w:hAnsi="Times New Roman" w:cs="Times New Roman"/>
          <w:sz w:val="24"/>
          <w:szCs w:val="24"/>
        </w:rPr>
        <w:t>Cis</w:t>
      </w:r>
      <w:proofErr w:type="spellEnd"/>
      <w:r w:rsidR="00721DD7">
        <w:rPr>
          <w:rFonts w:ascii="Times New Roman" w:hAnsi="Times New Roman" w:cs="Times New Roman"/>
          <w:sz w:val="24"/>
          <w:szCs w:val="24"/>
        </w:rPr>
        <w:t>-BP database (</w:t>
      </w:r>
      <w:proofErr w:type="spellStart"/>
      <w:r w:rsidR="00721DD7">
        <w:rPr>
          <w:rFonts w:ascii="Times New Roman" w:hAnsi="Times New Roman" w:cs="Times New Roman"/>
          <w:sz w:val="24"/>
          <w:szCs w:val="24"/>
        </w:rPr>
        <w:t>Weirauch</w:t>
      </w:r>
      <w:proofErr w:type="spellEnd"/>
      <w:r w:rsidR="00721DD7">
        <w:rPr>
          <w:rFonts w:ascii="Times New Roman" w:hAnsi="Times New Roman" w:cs="Times New Roman"/>
          <w:sz w:val="24"/>
          <w:szCs w:val="24"/>
        </w:rPr>
        <w:t xml:space="preserve"> et al., 2014). The met</w:t>
      </w:r>
      <w:r w:rsidR="00721DD7">
        <w:rPr>
          <w:rFonts w:ascii="Times New Roman" w:hAnsi="Times New Roman" w:cs="Times New Roman"/>
          <w:sz w:val="24"/>
          <w:szCs w:val="24"/>
        </w:rPr>
        <w:t xml:space="preserve">hod computed scores for 266 Transcription factors in total. Their list can be found in Supplementary Material 4. </w:t>
      </w:r>
    </w:p>
    <w:p w:rsidR="000E5E71" w:rsidRDefault="000E5E7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E5E71" w:rsidRDefault="00721DD7">
      <w:pPr>
        <w:pStyle w:val="Bezodstpw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DNase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I hypersensitivity</w:t>
      </w:r>
      <w:r>
        <w:rPr>
          <w:rFonts w:ascii="Times New Roman" w:hAnsi="Times New Roman" w:cs="Times New Roman"/>
          <w:sz w:val="24"/>
          <w:szCs w:val="24"/>
        </w:rPr>
        <w:t xml:space="preserve"> (1 variable): </w:t>
      </w:r>
    </w:p>
    <w:p w:rsidR="000E5E71" w:rsidRDefault="00721DD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used ENCODE </w:t>
      </w:r>
      <w:proofErr w:type="spellStart"/>
      <w:r>
        <w:rPr>
          <w:rFonts w:ascii="Times New Roman" w:hAnsi="Times New Roman" w:cs="Times New Roman"/>
          <w:sz w:val="24"/>
          <w:szCs w:val="24"/>
        </w:rPr>
        <w:t>DNase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clusters (V3) from 125 cell line types (John, et al., 2011; Thurman, et al., 201</w:t>
      </w:r>
      <w:r>
        <w:rPr>
          <w:rFonts w:ascii="Times New Roman" w:hAnsi="Times New Roman" w:cs="Times New Roman"/>
          <w:sz w:val="24"/>
          <w:szCs w:val="24"/>
        </w:rPr>
        <w:t xml:space="preserve">2; </w:t>
      </w:r>
      <w:proofErr w:type="spellStart"/>
      <w:r>
        <w:rPr>
          <w:rFonts w:ascii="Times New Roman" w:hAnsi="Times New Roman" w:cs="Times New Roman"/>
          <w:sz w:val="24"/>
          <w:szCs w:val="24"/>
        </w:rPr>
        <w:t>Rosenbloom</w:t>
      </w:r>
      <w:proofErr w:type="spellEnd"/>
      <w:r>
        <w:rPr>
          <w:rFonts w:ascii="Times New Roman" w:hAnsi="Times New Roman" w:cs="Times New Roman"/>
          <w:sz w:val="24"/>
          <w:szCs w:val="24"/>
        </w:rPr>
        <w:t>, et al., 2013).</w:t>
      </w:r>
    </w:p>
    <w:p w:rsidR="000E5E71" w:rsidRDefault="000E5E7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E5E71" w:rsidRDefault="00721DD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Evolutionary conservation</w:t>
      </w:r>
      <w:r>
        <w:rPr>
          <w:rFonts w:ascii="Times New Roman" w:hAnsi="Times New Roman" w:cs="Times New Roman"/>
          <w:sz w:val="24"/>
          <w:szCs w:val="24"/>
        </w:rPr>
        <w:t xml:space="preserve"> (10 variables):</w:t>
      </w:r>
    </w:p>
    <w:p w:rsidR="000E5E71" w:rsidRDefault="00721DD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GERP ++ </w:t>
      </w:r>
    </w:p>
    <w:p w:rsidR="000E5E71" w:rsidRDefault="00721DD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used the Genomic Evolutionary Rate Profiling scores (</w:t>
      </w:r>
      <w:proofErr w:type="spellStart"/>
      <w:r>
        <w:rPr>
          <w:rFonts w:ascii="Times New Roman" w:hAnsi="Times New Roman" w:cs="Times New Roman"/>
          <w:sz w:val="24"/>
          <w:szCs w:val="24"/>
        </w:rPr>
        <w:t>Davydov</w:t>
      </w:r>
      <w:proofErr w:type="spellEnd"/>
      <w:r>
        <w:rPr>
          <w:rFonts w:ascii="Times New Roman" w:hAnsi="Times New Roman" w:cs="Times New Roman"/>
          <w:sz w:val="24"/>
          <w:szCs w:val="24"/>
        </w:rPr>
        <w:t>, et al., 2010).</w:t>
      </w:r>
    </w:p>
    <w:p w:rsidR="000E5E71" w:rsidRDefault="00721DD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>
        <w:rPr>
          <w:rFonts w:ascii="Times New Roman" w:hAnsi="Times New Roman" w:cs="Times New Roman"/>
          <w:sz w:val="24"/>
          <w:szCs w:val="24"/>
        </w:rPr>
        <w:t>PhastCons</w:t>
      </w:r>
      <w:proofErr w:type="spellEnd"/>
    </w:p>
    <w:p w:rsidR="000E5E71" w:rsidRDefault="00721DD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obtained </w:t>
      </w:r>
      <w:proofErr w:type="spellStart"/>
      <w:r>
        <w:rPr>
          <w:rFonts w:ascii="Times New Roman" w:hAnsi="Times New Roman" w:cs="Times New Roman"/>
          <w:sz w:val="24"/>
          <w:szCs w:val="24"/>
        </w:rPr>
        <w:t>PhastCons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Siepel</w:t>
      </w:r>
      <w:proofErr w:type="spellEnd"/>
      <w:r>
        <w:rPr>
          <w:rFonts w:ascii="Times New Roman" w:hAnsi="Times New Roman" w:cs="Times New Roman"/>
          <w:sz w:val="24"/>
          <w:szCs w:val="24"/>
        </w:rPr>
        <w:t>, et al., 2005) conservation scoring with the use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vtools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(San Lucas, et al., 2012).</w:t>
      </w:r>
    </w:p>
    <w:p w:rsidR="000E5E71" w:rsidRDefault="00721DD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Z-score</w:t>
      </w:r>
    </w:p>
    <w:p w:rsidR="000E5E71" w:rsidRDefault="00721DD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Following our previous work (</w:t>
      </w:r>
      <w:proofErr w:type="spellStart"/>
      <w:r>
        <w:rPr>
          <w:rFonts w:ascii="Times New Roman" w:hAnsi="Times New Roman" w:cs="Times New Roman"/>
          <w:sz w:val="24"/>
          <w:szCs w:val="24"/>
        </w:rPr>
        <w:t>Wyrwicz</w:t>
      </w:r>
      <w:proofErr w:type="spellEnd"/>
      <w:r>
        <w:rPr>
          <w:rFonts w:ascii="Times New Roman" w:hAnsi="Times New Roman" w:cs="Times New Roman"/>
          <w:sz w:val="24"/>
          <w:szCs w:val="24"/>
        </w:rPr>
        <w:t>, et al., 2007) we recalculated Z-score values on whole genome human–mouse alignments (genome builds hg19 and mm9 (</w:t>
      </w:r>
      <w:proofErr w:type="spellStart"/>
      <w:r>
        <w:rPr>
          <w:rFonts w:ascii="Times New Roman" w:hAnsi="Times New Roman" w:cs="Times New Roman"/>
          <w:sz w:val="24"/>
          <w:szCs w:val="24"/>
        </w:rPr>
        <w:t>Chiaromonte</w:t>
      </w:r>
      <w:proofErr w:type="spellEnd"/>
      <w:r>
        <w:rPr>
          <w:rFonts w:ascii="Times New Roman" w:hAnsi="Times New Roman" w:cs="Times New Roman"/>
          <w:sz w:val="24"/>
          <w:szCs w:val="24"/>
        </w:rPr>
        <w:t>, et al., 2002; Schwartz, et al., 2003; Kent,</w:t>
      </w:r>
      <w:r>
        <w:rPr>
          <w:rFonts w:ascii="Times New Roman" w:hAnsi="Times New Roman" w:cs="Times New Roman"/>
          <w:sz w:val="24"/>
          <w:szCs w:val="24"/>
        </w:rPr>
        <w:t xml:space="preserve"> et al., 2003) from UCSC Genome Browser (Kent, et al., 2002). We calculated the score separately for the reference and mutated sequence and for window length 7 and 9. Differences and products of Z-scores for the reference and mutated sequence were added. T</w:t>
      </w:r>
      <w:r>
        <w:rPr>
          <w:rFonts w:ascii="Times New Roman" w:hAnsi="Times New Roman" w:cs="Times New Roman"/>
          <w:sz w:val="24"/>
          <w:szCs w:val="24"/>
        </w:rPr>
        <w:t>he updated dataset of conservation Z scores for human-mouse promoters is available upon request.</w:t>
      </w:r>
    </w:p>
    <w:p w:rsidR="000E5E71" w:rsidRDefault="000E5E7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E5E71" w:rsidRDefault="00721DD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8. Dinucleotide content</w:t>
      </w:r>
      <w:r>
        <w:rPr>
          <w:rFonts w:ascii="Times New Roman" w:hAnsi="Times New Roman" w:cs="Times New Roman"/>
          <w:sz w:val="24"/>
          <w:szCs w:val="24"/>
        </w:rPr>
        <w:t xml:space="preserve"> (16):</w:t>
      </w:r>
    </w:p>
    <w:p w:rsidR="000E5E71" w:rsidRDefault="00721DD7">
      <w:pPr>
        <w:pStyle w:val="Bezodstpw"/>
      </w:pPr>
      <w:r>
        <w:rPr>
          <w:rFonts w:ascii="Times New Roman" w:hAnsi="Times New Roman" w:cs="Times New Roman"/>
          <w:sz w:val="24"/>
          <w:szCs w:val="24"/>
        </w:rPr>
        <w:t>Observed vs. expected frequencies of 16 possible pairs of nucleotides appearing in the short sequence motif.</w:t>
      </w:r>
    </w:p>
    <w:sectPr w:rsidR="000E5E71">
      <w:pgSz w:w="11906" w:h="16838"/>
      <w:pgMar w:top="1417" w:right="1417" w:bottom="1417" w:left="1417" w:header="0" w:footer="0" w:gutter="0"/>
      <w:pgNumType w:start="1"/>
      <w:cols w:space="708"/>
      <w:formProt w:val="0"/>
      <w:docGrid w:linePitch="24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rd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E5E71"/>
    <w:rsid w:val="000E5E71"/>
    <w:rsid w:val="00264FC2"/>
    <w:rsid w:val="00721DD7"/>
    <w:rsid w:val="00EB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lang w:val="en-US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styleId="Tytu">
    <w:name w:val="Title"/>
    <w:basedOn w:val="Normalny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ezodstpw">
    <w:name w:val="No Spacing"/>
    <w:uiPriority w:val="1"/>
    <w:qFormat/>
    <w:rsid w:val="00482E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lang w:val="en-US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styleId="Tytu">
    <w:name w:val="Title"/>
    <w:basedOn w:val="Normalny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ezodstpw">
    <w:name w:val="No Spacing"/>
    <w:uiPriority w:val="1"/>
    <w:qFormat/>
    <w:rsid w:val="00482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657</Words>
  <Characters>3948</Characters>
  <Application>Microsoft Office Word</Application>
  <DocSecurity>0</DocSecurity>
  <Lines>32</Lines>
  <Paragraphs>9</Paragraphs>
  <ScaleCrop>false</ScaleCrop>
  <Company/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MajaM</cp:lastModifiedBy>
  <cp:revision>20</cp:revision>
  <dcterms:created xsi:type="dcterms:W3CDTF">2017-12-06T06:42:00Z</dcterms:created>
  <dcterms:modified xsi:type="dcterms:W3CDTF">2018-09-09T09:25:00Z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