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3F" w:rsidRDefault="001E0A9D">
      <w:pPr>
        <w:outlineLvl w:val="0"/>
        <w:rPr>
          <w:rFonts w:ascii="Times New Roman" w:hAnsi="Times New Roman" w:cs="Times New Roman"/>
          <w:b/>
          <w:sz w:val="24"/>
          <w:szCs w:val="24"/>
        </w:rPr>
      </w:pPr>
      <w:r>
        <w:rPr>
          <w:rFonts w:ascii="Times New Roman" w:hAnsi="Times New Roman" w:cs="Times New Roman"/>
          <w:b/>
          <w:sz w:val="24"/>
          <w:szCs w:val="24"/>
          <w:lang w:val="en-US"/>
        </w:rPr>
        <w:t xml:space="preserve">Pathogen without borders: </w:t>
      </w:r>
      <w:r>
        <w:rPr>
          <w:rFonts w:ascii="Times New Roman" w:hAnsi="Times New Roman" w:cs="Times New Roman"/>
          <w:b/>
          <w:i/>
          <w:sz w:val="24"/>
          <w:szCs w:val="24"/>
          <w:lang w:val="en-US"/>
        </w:rPr>
        <w:t>Sphaerulina populicola</w:t>
      </w:r>
      <w:r>
        <w:rPr>
          <w:rFonts w:ascii="Times New Roman" w:hAnsi="Times New Roman" w:cs="Times New Roman"/>
          <w:b/>
          <w:sz w:val="24"/>
          <w:szCs w:val="24"/>
          <w:lang w:val="en-US"/>
        </w:rPr>
        <w:t xml:space="preserve"> is genetically diverse and spreads freely through the host tree’s range</w:t>
      </w:r>
      <w:r>
        <w:rPr>
          <w:rFonts w:ascii="Times New Roman" w:hAnsi="Times New Roman" w:cs="Times New Roman"/>
          <w:b/>
          <w:sz w:val="24"/>
          <w:szCs w:val="24"/>
        </w:rPr>
        <w:t xml:space="preserve"> </w:t>
      </w:r>
    </w:p>
    <w:p w:rsidR="00F5693F" w:rsidRDefault="001E0A9D">
      <w:pPr>
        <w:outlineLvl w:val="0"/>
        <w:rPr>
          <w:rFonts w:ascii="Times New Roman" w:hAnsi="Times New Roman" w:cs="Times New Roman"/>
          <w:bCs/>
          <w:sz w:val="24"/>
          <w:szCs w:val="24"/>
        </w:rPr>
      </w:pPr>
      <w:r>
        <w:rPr>
          <w:rFonts w:ascii="Times New Roman" w:hAnsi="Times New Roman" w:cs="Times New Roman"/>
          <w:bCs/>
          <w:sz w:val="24"/>
          <w:szCs w:val="24"/>
        </w:rPr>
        <w:t>Fiona Paul, Imke Schmitt, Sunil Mundra, Miklós Bálint</w:t>
      </w:r>
    </w:p>
    <w:p w:rsidR="00C13902" w:rsidRDefault="00C13902">
      <w:pPr>
        <w:outlineLvl w:val="0"/>
        <w:rPr>
          <w:rFonts w:ascii="Times New Roman" w:hAnsi="Times New Roman" w:cs="Times New Roman"/>
          <w:bCs/>
          <w:sz w:val="24"/>
          <w:szCs w:val="24"/>
        </w:rPr>
      </w:pPr>
    </w:p>
    <w:p w:rsidR="00E62A8A" w:rsidRDefault="000B35A4">
      <w:pPr>
        <w:outlineLvl w:val="0"/>
        <w:rPr>
          <w:rFonts w:ascii="Times New Roman" w:hAnsi="Times New Roman" w:cs="Times New Roman"/>
          <w:b/>
          <w:sz w:val="24"/>
          <w:szCs w:val="24"/>
        </w:rPr>
      </w:pPr>
      <w:r>
        <w:rPr>
          <w:rFonts w:ascii="Times New Roman" w:hAnsi="Times New Roman" w:cs="Times New Roman"/>
          <w:b/>
          <w:sz w:val="24"/>
          <w:szCs w:val="24"/>
        </w:rPr>
        <w:t>Supporting information</w:t>
      </w:r>
    </w:p>
    <w:p w:rsidR="00C13902" w:rsidRDefault="00C13902">
      <w:pPr>
        <w:outlineLvl w:val="0"/>
        <w:rPr>
          <w:rFonts w:ascii="Times New Roman" w:hAnsi="Times New Roman" w:cs="Times New Roman"/>
          <w:b/>
          <w:sz w:val="24"/>
          <w:szCs w:val="24"/>
        </w:rPr>
      </w:pPr>
    </w:p>
    <w:p w:rsidR="00E62A8A" w:rsidRDefault="00E62A8A" w:rsidP="005E3391">
      <w:pPr>
        <w:outlineLvl w:val="0"/>
        <w:rPr>
          <w:rFonts w:ascii="Times New Roman" w:hAnsi="Times New Roman" w:cs="Times New Roman"/>
          <w:b/>
          <w:sz w:val="24"/>
          <w:szCs w:val="24"/>
        </w:rPr>
      </w:pPr>
      <w:r>
        <w:rPr>
          <w:rFonts w:ascii="Times New Roman" w:hAnsi="Times New Roman" w:cs="Times New Roman"/>
          <w:b/>
          <w:sz w:val="24"/>
          <w:szCs w:val="24"/>
        </w:rPr>
        <w:t xml:space="preserve">Appendix </w:t>
      </w:r>
      <w:r w:rsidR="000B35A4">
        <w:rPr>
          <w:rFonts w:ascii="Times New Roman" w:hAnsi="Times New Roman" w:cs="Times New Roman"/>
          <w:b/>
          <w:sz w:val="24"/>
          <w:szCs w:val="24"/>
        </w:rPr>
        <w:t>S</w:t>
      </w:r>
      <w:r>
        <w:rPr>
          <w:rFonts w:ascii="Times New Roman" w:hAnsi="Times New Roman" w:cs="Times New Roman"/>
          <w:b/>
          <w:sz w:val="24"/>
          <w:szCs w:val="24"/>
        </w:rPr>
        <w:t>1:</w:t>
      </w:r>
      <w:r w:rsidR="00C13902">
        <w:rPr>
          <w:rFonts w:ascii="Times New Roman" w:hAnsi="Times New Roman" w:cs="Times New Roman"/>
          <w:b/>
          <w:sz w:val="24"/>
          <w:szCs w:val="24"/>
        </w:rPr>
        <w:t xml:space="preserve"> </w:t>
      </w:r>
      <w:r w:rsidR="005E3391">
        <w:rPr>
          <w:rFonts w:ascii="Times New Roman" w:hAnsi="Times New Roman" w:cs="Times New Roman"/>
          <w:b/>
          <w:sz w:val="24"/>
          <w:szCs w:val="24"/>
        </w:rPr>
        <w:t>Additional tables and figures</w:t>
      </w:r>
    </w:p>
    <w:p w:rsidR="00C13902" w:rsidRDefault="00C13902">
      <w:pPr>
        <w:outlineLvl w:val="0"/>
      </w:pPr>
    </w:p>
    <w:p w:rsidR="00C13902" w:rsidRDefault="00C13902" w:rsidP="00C13902">
      <w:pPr>
        <w:outlineLvl w:val="0"/>
        <w:rPr>
          <w:rFonts w:ascii="Times New Roman" w:hAnsi="Times New Roman" w:cs="Times New Roman"/>
          <w:b/>
          <w:sz w:val="24"/>
          <w:szCs w:val="24"/>
        </w:rPr>
        <w:sectPr w:rsidR="00C13902" w:rsidSect="00E62A8A">
          <w:footerReference w:type="default" r:id="rId8"/>
          <w:pgSz w:w="11906" w:h="16838"/>
          <w:pgMar w:top="1417" w:right="1417" w:bottom="1134" w:left="1417" w:header="0" w:footer="0" w:gutter="0"/>
          <w:cols w:space="720"/>
          <w:formProt w:val="0"/>
          <w:docGrid w:linePitch="360" w:charSpace="-2049"/>
        </w:sectPr>
      </w:pPr>
    </w:p>
    <w:p w:rsidR="00C13902" w:rsidRPr="00C655F1" w:rsidRDefault="006F4BA3" w:rsidP="00C13902">
      <w:pPr>
        <w:suppressLineNumbers/>
        <w:spacing w:before="120" w:after="120" w:line="480" w:lineRule="auto"/>
      </w:pPr>
      <w:r>
        <w:rPr>
          <w:rFonts w:ascii="Times New Roman" w:eastAsia="SimSun" w:hAnsi="Times New Roman" w:cs="Mangal"/>
          <w:b/>
          <w:iCs/>
          <w:lang w:eastAsia="zh-CN" w:bidi="hi-IN"/>
        </w:rPr>
        <w:lastRenderedPageBreak/>
        <w:t>Table S</w:t>
      </w:r>
      <w:r w:rsidR="00C13902" w:rsidRPr="000B35A4">
        <w:rPr>
          <w:rFonts w:ascii="Times New Roman" w:eastAsia="SimSun" w:hAnsi="Times New Roman" w:cs="Mangal"/>
          <w:b/>
          <w:iCs/>
          <w:lang w:eastAsia="zh-CN" w:bidi="hi-IN"/>
        </w:rPr>
        <w:t>1</w:t>
      </w:r>
      <w:r w:rsidR="005E3391">
        <w:rPr>
          <w:rFonts w:ascii="Times New Roman" w:eastAsia="SimSun" w:hAnsi="Times New Roman" w:cs="Mangal"/>
          <w:b/>
          <w:iCs/>
          <w:lang w:eastAsia="zh-CN" w:bidi="hi-IN"/>
        </w:rPr>
        <w:t>.</w:t>
      </w:r>
      <w:r w:rsidR="00C13902" w:rsidRPr="00C655F1">
        <w:rPr>
          <w:rFonts w:ascii="Times New Roman" w:eastAsia="SimSun" w:hAnsi="Times New Roman" w:cs="Mangal"/>
          <w:b/>
          <w:iCs/>
          <w:lang w:eastAsia="zh-CN" w:bidi="hi-IN"/>
        </w:rPr>
        <w:t xml:space="preserve"> Geographic, climatic and sampling information for the 12 sampling locations. </w:t>
      </w:r>
      <w:r w:rsidR="00C13902" w:rsidRPr="00C655F1">
        <w:rPr>
          <w:rFonts w:ascii="Times New Roman" w:eastAsia="SimSun" w:hAnsi="Times New Roman" w:cs="Mangal"/>
          <w:iCs/>
          <w:lang w:eastAsia="zh-CN" w:bidi="hi-IN"/>
        </w:rPr>
        <w:t>Listed are the geographic location, i.e. longitude and latitude, the altitude for the sampling sites</w:t>
      </w:r>
      <w:r w:rsidR="007578B2">
        <w:rPr>
          <w:rFonts w:ascii="Times New Roman" w:eastAsia="SimSun" w:hAnsi="Times New Roman" w:cs="Mangal"/>
          <w:iCs/>
          <w:lang w:eastAsia="zh-CN" w:bidi="hi-IN"/>
        </w:rPr>
        <w:t xml:space="preserve"> of balsam poplar in Canada and Alaska</w:t>
      </w:r>
      <w:r w:rsidR="00C13902" w:rsidRPr="00C655F1">
        <w:rPr>
          <w:rFonts w:ascii="Times New Roman" w:eastAsia="SimSun" w:hAnsi="Times New Roman" w:cs="Mangal"/>
          <w:iCs/>
          <w:lang w:eastAsia="zh-CN" w:bidi="hi-IN"/>
        </w:rPr>
        <w:t>. Climatic parameters include mean annual precipitation as well as mean precipitation in the months January and July. The same parameters are given for the temperatures. Further, the geographic region of the trees, as well as the average read number per site coming from the sequencing run before cleaning, the number of replicates in the cleaned abundance table and the location code as used in Fig.1.</w:t>
      </w:r>
    </w:p>
    <w:tbl>
      <w:tblPr>
        <w:tblStyle w:val="thesistable2"/>
        <w:tblW w:w="14571" w:type="dxa"/>
        <w:tblLook w:val="04A0" w:firstRow="1" w:lastRow="0" w:firstColumn="1" w:lastColumn="0" w:noHBand="0" w:noVBand="1"/>
      </w:tblPr>
      <w:tblGrid>
        <w:gridCol w:w="1405"/>
        <w:gridCol w:w="1144"/>
        <w:gridCol w:w="992"/>
        <w:gridCol w:w="992"/>
        <w:gridCol w:w="994"/>
        <w:gridCol w:w="708"/>
        <w:gridCol w:w="994"/>
        <w:gridCol w:w="992"/>
        <w:gridCol w:w="850"/>
        <w:gridCol w:w="994"/>
        <w:gridCol w:w="1275"/>
        <w:gridCol w:w="994"/>
        <w:gridCol w:w="1134"/>
        <w:gridCol w:w="1103"/>
      </w:tblGrid>
      <w:tr w:rsidR="00C13902" w:rsidTr="00692258">
        <w:trPr>
          <w:cnfStyle w:val="100000000000" w:firstRow="1" w:lastRow="0" w:firstColumn="0" w:lastColumn="0" w:oddVBand="0" w:evenVBand="0" w:oddHBand="0" w:evenHBand="0" w:firstRowFirstColumn="0" w:firstRowLastColumn="0" w:lastRowFirstColumn="0" w:lastRowLastColumn="0"/>
          <w:trHeight w:val="624"/>
        </w:trPr>
        <w:tc>
          <w:tcPr>
            <w:cnfStyle w:val="001000000100" w:firstRow="0" w:lastRow="0" w:firstColumn="1" w:lastColumn="0" w:oddVBand="0" w:evenVBand="0" w:oddHBand="0" w:evenHBand="0" w:firstRowFirstColumn="1" w:firstRowLastColumn="0" w:lastRowFirstColumn="0" w:lastRowLastColumn="0"/>
            <w:tcW w:w="1406" w:type="dxa"/>
            <w:vMerge w:val="restart"/>
            <w:tcBorders>
              <w:top w:val="single" w:sz="4" w:space="0" w:color="00000A"/>
              <w:bottom w:val="single" w:sz="4" w:space="0" w:color="00000A"/>
            </w:tcBorders>
          </w:tcPr>
          <w:p w:rsidR="00C13902" w:rsidRDefault="00C13902" w:rsidP="00692258">
            <w:pPr>
              <w:spacing w:after="0" w:line="240" w:lineRule="auto"/>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Sampling location</w:t>
            </w:r>
          </w:p>
        </w:tc>
        <w:tc>
          <w:tcPr>
            <w:tcW w:w="1145" w:type="dxa"/>
            <w:vMerge w:val="restart"/>
            <w:tcBorders>
              <w:top w:val="single" w:sz="4" w:space="0" w:color="00000A"/>
              <w:bottom w:val="single" w:sz="4" w:space="0" w:color="00000A"/>
            </w:tcBorders>
          </w:tcPr>
          <w:p w:rsidR="00C13902" w:rsidRDefault="00C13902" w:rsidP="0069225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Longitude</w:t>
            </w:r>
          </w:p>
          <w:p w:rsidR="00C13902" w:rsidRDefault="00C13902" w:rsidP="0069225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 W)</w:t>
            </w:r>
          </w:p>
        </w:tc>
        <w:tc>
          <w:tcPr>
            <w:tcW w:w="992" w:type="dxa"/>
            <w:vMerge w:val="restart"/>
            <w:tcBorders>
              <w:top w:val="single" w:sz="4" w:space="0" w:color="00000A"/>
              <w:bottom w:val="single" w:sz="4" w:space="0" w:color="00000A"/>
            </w:tcBorders>
          </w:tcPr>
          <w:p w:rsidR="00C13902" w:rsidRDefault="00C13902" w:rsidP="0069225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Latitude</w:t>
            </w:r>
          </w:p>
          <w:p w:rsidR="00C13902" w:rsidRDefault="00C13902" w:rsidP="0069225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 N)</w:t>
            </w:r>
          </w:p>
        </w:tc>
        <w:tc>
          <w:tcPr>
            <w:tcW w:w="992" w:type="dxa"/>
            <w:vMerge w:val="restart"/>
            <w:tcBorders>
              <w:top w:val="single" w:sz="4" w:space="0" w:color="00000A"/>
              <w:bottom w:val="single" w:sz="4" w:space="0" w:color="00000A"/>
              <w:right w:val="single" w:sz="4" w:space="0" w:color="000001"/>
            </w:tcBorders>
          </w:tcPr>
          <w:p w:rsidR="00C13902" w:rsidRDefault="00C13902" w:rsidP="0069225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Altitude</w:t>
            </w:r>
          </w:p>
          <w:p w:rsidR="00C13902" w:rsidRDefault="00C13902" w:rsidP="0069225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(m alsm)</w:t>
            </w:r>
          </w:p>
        </w:tc>
        <w:tc>
          <w:tcPr>
            <w:tcW w:w="2695" w:type="dxa"/>
            <w:gridSpan w:val="3"/>
            <w:tcBorders>
              <w:top w:val="single" w:sz="4" w:space="0" w:color="00000A"/>
              <w:left w:val="single" w:sz="4" w:space="0" w:color="000001"/>
              <w:bottom w:val="single" w:sz="4" w:space="0" w:color="00000A"/>
              <w:right w:val="single" w:sz="4" w:space="0" w:color="000001"/>
            </w:tcBorders>
            <w:tcMar>
              <w:left w:w="103" w:type="dxa"/>
            </w:tcMar>
          </w:tcPr>
          <w:p w:rsidR="00C13902" w:rsidRDefault="00C13902" w:rsidP="0069225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Mean precipitation (mm)</w:t>
            </w:r>
          </w:p>
        </w:tc>
        <w:tc>
          <w:tcPr>
            <w:tcW w:w="2835" w:type="dxa"/>
            <w:gridSpan w:val="3"/>
            <w:tcBorders>
              <w:top w:val="single" w:sz="4" w:space="0" w:color="00000A"/>
              <w:left w:val="single" w:sz="4" w:space="0" w:color="000001"/>
              <w:bottom w:val="single" w:sz="4" w:space="0" w:color="00000A"/>
              <w:right w:val="single" w:sz="4" w:space="0" w:color="000001"/>
            </w:tcBorders>
            <w:tcMar>
              <w:left w:w="103" w:type="dxa"/>
            </w:tcMar>
          </w:tcPr>
          <w:p w:rsidR="00C13902" w:rsidRDefault="00C13902" w:rsidP="0069225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Mean temperature (° C)</w:t>
            </w:r>
          </w:p>
        </w:tc>
        <w:tc>
          <w:tcPr>
            <w:tcW w:w="1275" w:type="dxa"/>
            <w:vMerge w:val="restart"/>
            <w:tcBorders>
              <w:top w:val="single" w:sz="4" w:space="0" w:color="00000A"/>
              <w:left w:val="single" w:sz="4" w:space="0" w:color="000001"/>
              <w:bottom w:val="single" w:sz="4" w:space="0" w:color="00000A"/>
            </w:tcBorders>
            <w:tcMar>
              <w:left w:w="103" w:type="dxa"/>
            </w:tcMar>
          </w:tcPr>
          <w:p w:rsidR="00C13902" w:rsidRDefault="00C13902" w:rsidP="0069225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Geographic region</w:t>
            </w:r>
          </w:p>
        </w:tc>
        <w:tc>
          <w:tcPr>
            <w:tcW w:w="994" w:type="dxa"/>
            <w:vMerge w:val="restart"/>
            <w:tcBorders>
              <w:top w:val="single" w:sz="4" w:space="0" w:color="00000A"/>
              <w:bottom w:val="single" w:sz="4" w:space="0" w:color="00000A"/>
            </w:tcBorders>
          </w:tcPr>
          <w:p w:rsidR="00C13902" w:rsidRDefault="00C13902" w:rsidP="0069225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Average raw read number</w:t>
            </w:r>
          </w:p>
        </w:tc>
        <w:tc>
          <w:tcPr>
            <w:tcW w:w="1133" w:type="dxa"/>
            <w:vMerge w:val="restart"/>
            <w:tcBorders>
              <w:top w:val="single" w:sz="4" w:space="0" w:color="00000A"/>
              <w:bottom w:val="single" w:sz="4" w:space="0" w:color="00000A"/>
            </w:tcBorders>
          </w:tcPr>
          <w:p w:rsidR="00C13902" w:rsidRDefault="00C13902" w:rsidP="0069225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Nbr of replicates</w:t>
            </w:r>
          </w:p>
        </w:tc>
        <w:tc>
          <w:tcPr>
            <w:tcW w:w="1103" w:type="dxa"/>
            <w:vMerge w:val="restart"/>
            <w:tcBorders>
              <w:top w:val="single" w:sz="4" w:space="0" w:color="00000A"/>
              <w:bottom w:val="single" w:sz="4" w:space="0" w:color="00000A"/>
            </w:tcBorders>
          </w:tcPr>
          <w:p w:rsidR="00C13902" w:rsidRDefault="00C13902" w:rsidP="00692258">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Location Code</w:t>
            </w:r>
          </w:p>
        </w:tc>
      </w:tr>
      <w:tr w:rsidR="005E3391" w:rsidTr="0069225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406" w:type="dxa"/>
            <w:vMerge/>
            <w:tcBorders>
              <w:top w:val="nil"/>
              <w:left w:val="nil"/>
              <w:bottom w:val="single" w:sz="4" w:space="0" w:color="00000A"/>
              <w:right w:val="nil"/>
            </w:tcBorders>
            <w:shd w:val="clear" w:color="auto" w:fill="FFFFFF" w:themeFill="background1"/>
          </w:tcPr>
          <w:p w:rsidR="00C13902" w:rsidRDefault="00C13902" w:rsidP="00692258">
            <w:pPr>
              <w:spacing w:after="0" w:line="240" w:lineRule="auto"/>
              <w:rPr>
                <w:rFonts w:ascii="Times New Roman" w:hAnsi="Times New Roman"/>
                <w:iCs/>
                <w:color w:val="000000"/>
              </w:rPr>
            </w:pPr>
          </w:p>
        </w:tc>
        <w:tc>
          <w:tcPr>
            <w:tcW w:w="1145" w:type="dxa"/>
            <w:vMerge/>
            <w:tcBorders>
              <w:top w:val="nil"/>
              <w:left w:val="nil"/>
              <w:bottom w:val="single" w:sz="4" w:space="0" w:color="00000A"/>
              <w:right w:val="nil"/>
            </w:tcBorders>
            <w:shd w:val="clear" w:color="auto" w:fill="FFFFFF" w:themeFill="background1"/>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color w:val="000000"/>
                <w:sz w:val="20"/>
              </w:rPr>
            </w:pPr>
          </w:p>
        </w:tc>
        <w:tc>
          <w:tcPr>
            <w:tcW w:w="992" w:type="dxa"/>
            <w:vMerge/>
            <w:tcBorders>
              <w:top w:val="nil"/>
              <w:left w:val="nil"/>
              <w:bottom w:val="single" w:sz="4" w:space="0" w:color="00000A"/>
              <w:right w:val="nil"/>
            </w:tcBorders>
            <w:shd w:val="clear" w:color="auto" w:fill="FFFFFF" w:themeFill="background1"/>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color w:val="000000"/>
                <w:sz w:val="20"/>
              </w:rPr>
            </w:pPr>
          </w:p>
        </w:tc>
        <w:tc>
          <w:tcPr>
            <w:tcW w:w="992" w:type="dxa"/>
            <w:vMerge/>
            <w:tcBorders>
              <w:top w:val="nil"/>
              <w:left w:val="nil"/>
              <w:bottom w:val="single" w:sz="4" w:space="0" w:color="00000A"/>
              <w:right w:val="single" w:sz="4" w:space="0" w:color="000001"/>
            </w:tcBorders>
            <w:shd w:val="clear" w:color="auto" w:fill="FFFFFF" w:themeFill="background1"/>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color w:val="000000"/>
                <w:sz w:val="20"/>
              </w:rPr>
            </w:pPr>
          </w:p>
        </w:tc>
        <w:tc>
          <w:tcPr>
            <w:tcW w:w="994" w:type="dxa"/>
            <w:tcBorders>
              <w:top w:val="single" w:sz="4" w:space="0" w:color="00000A"/>
              <w:left w:val="single" w:sz="4" w:space="0" w:color="000001"/>
              <w:bottom w:val="single" w:sz="4" w:space="0" w:color="00000A"/>
              <w:right w:val="nil"/>
            </w:tcBorders>
            <w:shd w:val="clear" w:color="auto" w:fill="FFFFFF" w:themeFill="background1"/>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January</w:t>
            </w:r>
          </w:p>
        </w:tc>
        <w:tc>
          <w:tcPr>
            <w:tcW w:w="708" w:type="dxa"/>
            <w:tcBorders>
              <w:top w:val="single" w:sz="4" w:space="0" w:color="00000A"/>
              <w:left w:val="nil"/>
              <w:bottom w:val="single" w:sz="4" w:space="0" w:color="00000A"/>
              <w:right w:val="nil"/>
            </w:tcBorders>
            <w:shd w:val="clear" w:color="auto" w:fill="FFFFFF" w:themeFill="background1"/>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July</w:t>
            </w:r>
          </w:p>
        </w:tc>
        <w:tc>
          <w:tcPr>
            <w:tcW w:w="994" w:type="dxa"/>
            <w:tcBorders>
              <w:top w:val="single" w:sz="4" w:space="0" w:color="00000A"/>
              <w:left w:val="nil"/>
              <w:bottom w:val="single" w:sz="4" w:space="0" w:color="00000A"/>
              <w:right w:val="single" w:sz="4" w:space="0" w:color="000001"/>
            </w:tcBorders>
            <w:shd w:val="clear" w:color="auto" w:fill="FFFFFF" w:themeFill="background1"/>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Annual</w:t>
            </w:r>
          </w:p>
        </w:tc>
        <w:tc>
          <w:tcPr>
            <w:tcW w:w="992" w:type="dxa"/>
            <w:tcBorders>
              <w:top w:val="nil"/>
              <w:left w:val="single" w:sz="4" w:space="0" w:color="000001"/>
              <w:bottom w:val="single" w:sz="4" w:space="0" w:color="00000A"/>
              <w:right w:val="nil"/>
            </w:tcBorders>
            <w:shd w:val="clear" w:color="auto" w:fill="FFFFFF" w:themeFill="background1"/>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January</w:t>
            </w:r>
          </w:p>
        </w:tc>
        <w:tc>
          <w:tcPr>
            <w:tcW w:w="850" w:type="dxa"/>
            <w:tcBorders>
              <w:top w:val="nil"/>
              <w:left w:val="nil"/>
              <w:bottom w:val="single" w:sz="4" w:space="0" w:color="00000A"/>
              <w:right w:val="nil"/>
            </w:tcBorders>
            <w:shd w:val="clear" w:color="auto" w:fill="FFFFFF" w:themeFill="background1"/>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July</w:t>
            </w:r>
          </w:p>
        </w:tc>
        <w:tc>
          <w:tcPr>
            <w:tcW w:w="994" w:type="dxa"/>
            <w:tcBorders>
              <w:top w:val="nil"/>
              <w:left w:val="nil"/>
              <w:bottom w:val="single" w:sz="4" w:space="0" w:color="00000A"/>
              <w:right w:val="single" w:sz="4" w:space="0" w:color="000001"/>
            </w:tcBorders>
            <w:shd w:val="clear" w:color="auto" w:fill="FFFFFF" w:themeFill="background1"/>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Annual</w:t>
            </w:r>
          </w:p>
        </w:tc>
        <w:tc>
          <w:tcPr>
            <w:tcW w:w="1275" w:type="dxa"/>
            <w:vMerge/>
            <w:tcBorders>
              <w:top w:val="nil"/>
              <w:left w:val="single" w:sz="4" w:space="0" w:color="000001"/>
              <w:bottom w:val="single" w:sz="4" w:space="0" w:color="00000A"/>
              <w:right w:val="nil"/>
            </w:tcBorders>
            <w:shd w:val="clear" w:color="auto" w:fill="FFFFFF" w:themeFill="background1"/>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color w:val="000000"/>
                <w:sz w:val="20"/>
              </w:rPr>
            </w:pPr>
          </w:p>
        </w:tc>
        <w:tc>
          <w:tcPr>
            <w:tcW w:w="993" w:type="dxa"/>
            <w:vMerge/>
            <w:tcBorders>
              <w:top w:val="nil"/>
              <w:left w:val="nil"/>
              <w:bottom w:val="single" w:sz="4" w:space="0" w:color="00000A"/>
              <w:right w:val="nil"/>
            </w:tcBorders>
            <w:shd w:val="clear" w:color="auto" w:fill="FFFFFF" w:themeFill="background1"/>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color w:val="000000"/>
                <w:sz w:val="20"/>
              </w:rPr>
            </w:pPr>
          </w:p>
        </w:tc>
        <w:tc>
          <w:tcPr>
            <w:tcW w:w="1134" w:type="dxa"/>
            <w:vMerge/>
            <w:tcBorders>
              <w:top w:val="nil"/>
              <w:left w:val="nil"/>
              <w:bottom w:val="single" w:sz="4" w:space="0" w:color="00000A"/>
              <w:right w:val="nil"/>
            </w:tcBorders>
            <w:shd w:val="clear" w:color="auto" w:fill="FFFFFF" w:themeFill="background1"/>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color w:val="000000"/>
                <w:sz w:val="20"/>
              </w:rPr>
            </w:pPr>
          </w:p>
        </w:tc>
        <w:tc>
          <w:tcPr>
            <w:tcW w:w="1101" w:type="dxa"/>
            <w:vMerge/>
            <w:tcBorders>
              <w:top w:val="nil"/>
              <w:left w:val="nil"/>
              <w:bottom w:val="single" w:sz="4" w:space="0" w:color="00000A"/>
              <w:right w:val="nil"/>
            </w:tcBorders>
            <w:shd w:val="clear" w:color="auto" w:fill="FFFFFF" w:themeFill="background1"/>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color w:val="000000"/>
                <w:sz w:val="20"/>
              </w:rPr>
            </w:pPr>
          </w:p>
        </w:tc>
      </w:tr>
      <w:tr w:rsidR="00C13902" w:rsidTr="00692258">
        <w:trPr>
          <w:trHeight w:val="300"/>
        </w:trPr>
        <w:tc>
          <w:tcPr>
            <w:cnfStyle w:val="001000000000" w:firstRow="0" w:lastRow="0" w:firstColumn="1" w:lastColumn="0" w:oddVBand="0" w:evenVBand="0" w:oddHBand="0" w:evenHBand="0" w:firstRowFirstColumn="0" w:firstRowLastColumn="0" w:lastRowFirstColumn="0" w:lastRowLastColumn="0"/>
            <w:tcW w:w="1406" w:type="dxa"/>
            <w:tcBorders>
              <w:top w:val="nil"/>
              <w:left w:val="nil"/>
              <w:bottom w:val="nil"/>
              <w:right w:val="nil"/>
            </w:tcBorders>
          </w:tcPr>
          <w:p w:rsidR="00C13902" w:rsidRDefault="00C13902" w:rsidP="00692258">
            <w:pPr>
              <w:spacing w:after="0" w:line="240" w:lineRule="auto"/>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Arctic Village</w:t>
            </w:r>
          </w:p>
        </w:tc>
        <w:tc>
          <w:tcPr>
            <w:tcW w:w="1145"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-145.572</w:t>
            </w:r>
          </w:p>
        </w:tc>
        <w:tc>
          <w:tcPr>
            <w:tcW w:w="992"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68.119</w:t>
            </w:r>
          </w:p>
        </w:tc>
        <w:tc>
          <w:tcPr>
            <w:tcW w:w="992"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610</w:t>
            </w:r>
          </w:p>
        </w:tc>
        <w:tc>
          <w:tcPr>
            <w:tcW w:w="994"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w:t>
            </w:r>
          </w:p>
        </w:tc>
        <w:tc>
          <w:tcPr>
            <w:tcW w:w="708"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26</w:t>
            </w:r>
          </w:p>
        </w:tc>
        <w:tc>
          <w:tcPr>
            <w:tcW w:w="994"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165</w:t>
            </w:r>
          </w:p>
        </w:tc>
        <w:tc>
          <w:tcPr>
            <w:tcW w:w="992"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-29.1</w:t>
            </w:r>
          </w:p>
        </w:tc>
        <w:tc>
          <w:tcPr>
            <w:tcW w:w="850"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w:t>
            </w:r>
          </w:p>
        </w:tc>
        <w:tc>
          <w:tcPr>
            <w:tcW w:w="994"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-10.3</w:t>
            </w:r>
          </w:p>
        </w:tc>
        <w:tc>
          <w:tcPr>
            <w:tcW w:w="1275"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Alaska</w:t>
            </w:r>
          </w:p>
        </w:tc>
        <w:tc>
          <w:tcPr>
            <w:tcW w:w="993"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39,764</w:t>
            </w:r>
          </w:p>
        </w:tc>
        <w:tc>
          <w:tcPr>
            <w:tcW w:w="1134"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w:t>
            </w:r>
          </w:p>
        </w:tc>
        <w:tc>
          <w:tcPr>
            <w:tcW w:w="1101"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ava</w:t>
            </w:r>
          </w:p>
        </w:tc>
      </w:tr>
      <w:tr w:rsidR="005E3391" w:rsidTr="0069225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406" w:type="dxa"/>
            <w:tcBorders>
              <w:top w:val="nil"/>
              <w:left w:val="nil"/>
              <w:bottom w:val="nil"/>
              <w:right w:val="nil"/>
            </w:tcBorders>
          </w:tcPr>
          <w:p w:rsidR="00C13902" w:rsidRDefault="00C13902" w:rsidP="00692258">
            <w:pPr>
              <w:spacing w:after="0" w:line="240" w:lineRule="auto"/>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Boyle</w:t>
            </w:r>
          </w:p>
        </w:tc>
        <w:tc>
          <w:tcPr>
            <w:tcW w:w="1145"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-112.376</w:t>
            </w:r>
          </w:p>
        </w:tc>
        <w:tc>
          <w:tcPr>
            <w:tcW w:w="992"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54.289</w:t>
            </w:r>
          </w:p>
        </w:tc>
        <w:tc>
          <w:tcPr>
            <w:tcW w:w="992"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712</w:t>
            </w:r>
          </w:p>
        </w:tc>
        <w:tc>
          <w:tcPr>
            <w:tcW w:w="994"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21</w:t>
            </w:r>
          </w:p>
        </w:tc>
        <w:tc>
          <w:tcPr>
            <w:tcW w:w="708" w:type="dxa"/>
            <w:tcBorders>
              <w:top w:val="nil"/>
              <w:left w:val="nil"/>
              <w:bottom w:val="nil"/>
              <w:right w:val="nil"/>
            </w:tcBorders>
          </w:tcPr>
          <w:p w:rsidR="00C13902" w:rsidRDefault="00C13902" w:rsidP="00692258">
            <w:pPr>
              <w:tabs>
                <w:tab w:val="left" w:pos="804"/>
              </w:tabs>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w:t>
            </w:r>
          </w:p>
        </w:tc>
        <w:tc>
          <w:tcPr>
            <w:tcW w:w="994"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460</w:t>
            </w:r>
          </w:p>
        </w:tc>
        <w:tc>
          <w:tcPr>
            <w:tcW w:w="992"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-14.9</w:t>
            </w:r>
          </w:p>
        </w:tc>
        <w:tc>
          <w:tcPr>
            <w:tcW w:w="850"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16</w:t>
            </w:r>
          </w:p>
        </w:tc>
        <w:tc>
          <w:tcPr>
            <w:tcW w:w="994"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w:t>
            </w:r>
          </w:p>
        </w:tc>
        <w:tc>
          <w:tcPr>
            <w:tcW w:w="1275"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Canada</w:t>
            </w:r>
          </w:p>
        </w:tc>
        <w:tc>
          <w:tcPr>
            <w:tcW w:w="993"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25,281</w:t>
            </w:r>
          </w:p>
        </w:tc>
        <w:tc>
          <w:tcPr>
            <w:tcW w:w="1134"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w:t>
            </w:r>
          </w:p>
        </w:tc>
        <w:tc>
          <w:tcPr>
            <w:tcW w:w="1101"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boy</w:t>
            </w:r>
          </w:p>
        </w:tc>
      </w:tr>
      <w:tr w:rsidR="00C13902" w:rsidTr="00692258">
        <w:trPr>
          <w:trHeight w:val="300"/>
        </w:trPr>
        <w:tc>
          <w:tcPr>
            <w:cnfStyle w:val="001000000000" w:firstRow="0" w:lastRow="0" w:firstColumn="1" w:lastColumn="0" w:oddVBand="0" w:evenVBand="0" w:oddHBand="0" w:evenHBand="0" w:firstRowFirstColumn="0" w:firstRowLastColumn="0" w:lastRowFirstColumn="0" w:lastRowLastColumn="0"/>
            <w:tcW w:w="1406" w:type="dxa"/>
            <w:tcBorders>
              <w:top w:val="nil"/>
              <w:left w:val="nil"/>
              <w:bottom w:val="nil"/>
              <w:right w:val="nil"/>
            </w:tcBorders>
          </w:tcPr>
          <w:p w:rsidR="00C13902" w:rsidRDefault="00C13902" w:rsidP="00692258">
            <w:pPr>
              <w:spacing w:after="0" w:line="240" w:lineRule="auto"/>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Cadomin</w:t>
            </w:r>
          </w:p>
        </w:tc>
        <w:tc>
          <w:tcPr>
            <w:tcW w:w="1145"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-117.483</w:t>
            </w:r>
          </w:p>
        </w:tc>
        <w:tc>
          <w:tcPr>
            <w:tcW w:w="992"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53.143</w:t>
            </w:r>
          </w:p>
        </w:tc>
        <w:tc>
          <w:tcPr>
            <w:tcW w:w="992"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1446</w:t>
            </w:r>
          </w:p>
        </w:tc>
        <w:tc>
          <w:tcPr>
            <w:tcW w:w="994"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34</w:t>
            </w:r>
          </w:p>
        </w:tc>
        <w:tc>
          <w:tcPr>
            <w:tcW w:w="708"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w:t>
            </w:r>
          </w:p>
        </w:tc>
        <w:tc>
          <w:tcPr>
            <w:tcW w:w="994"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534</w:t>
            </w:r>
          </w:p>
        </w:tc>
        <w:tc>
          <w:tcPr>
            <w:tcW w:w="992"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-12.2</w:t>
            </w:r>
          </w:p>
        </w:tc>
        <w:tc>
          <w:tcPr>
            <w:tcW w:w="850"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12.4</w:t>
            </w:r>
          </w:p>
        </w:tc>
        <w:tc>
          <w:tcPr>
            <w:tcW w:w="994"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0.8</w:t>
            </w:r>
          </w:p>
        </w:tc>
        <w:tc>
          <w:tcPr>
            <w:tcW w:w="1275"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Canada</w:t>
            </w:r>
          </w:p>
        </w:tc>
        <w:tc>
          <w:tcPr>
            <w:tcW w:w="993"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39,636</w:t>
            </w:r>
          </w:p>
        </w:tc>
        <w:tc>
          <w:tcPr>
            <w:tcW w:w="1134"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w:t>
            </w:r>
          </w:p>
        </w:tc>
        <w:tc>
          <w:tcPr>
            <w:tcW w:w="1101"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cad</w:t>
            </w:r>
          </w:p>
        </w:tc>
      </w:tr>
      <w:tr w:rsidR="005E3391" w:rsidTr="00692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6" w:type="dxa"/>
            <w:tcBorders>
              <w:top w:val="nil"/>
              <w:left w:val="nil"/>
              <w:bottom w:val="nil"/>
              <w:right w:val="nil"/>
            </w:tcBorders>
          </w:tcPr>
          <w:p w:rsidR="00C13902" w:rsidRDefault="00C13902" w:rsidP="00692258">
            <w:pPr>
              <w:spacing w:after="0" w:line="240" w:lineRule="auto"/>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Carnduff</w:t>
            </w:r>
          </w:p>
        </w:tc>
        <w:tc>
          <w:tcPr>
            <w:tcW w:w="1145"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-101.51</w:t>
            </w:r>
          </w:p>
        </w:tc>
        <w:tc>
          <w:tcPr>
            <w:tcW w:w="992"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49.133</w:t>
            </w:r>
          </w:p>
        </w:tc>
        <w:tc>
          <w:tcPr>
            <w:tcW w:w="992"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496</w:t>
            </w:r>
          </w:p>
        </w:tc>
        <w:tc>
          <w:tcPr>
            <w:tcW w:w="994"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13</w:t>
            </w:r>
          </w:p>
        </w:tc>
        <w:tc>
          <w:tcPr>
            <w:tcW w:w="708"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w:t>
            </w:r>
          </w:p>
        </w:tc>
        <w:tc>
          <w:tcPr>
            <w:tcW w:w="994"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396</w:t>
            </w:r>
          </w:p>
        </w:tc>
        <w:tc>
          <w:tcPr>
            <w:tcW w:w="992"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-16.2</w:t>
            </w:r>
          </w:p>
        </w:tc>
        <w:tc>
          <w:tcPr>
            <w:tcW w:w="850"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19.6</w:t>
            </w:r>
          </w:p>
        </w:tc>
        <w:tc>
          <w:tcPr>
            <w:tcW w:w="994"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3.1</w:t>
            </w:r>
          </w:p>
        </w:tc>
        <w:tc>
          <w:tcPr>
            <w:tcW w:w="1275"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Canada</w:t>
            </w:r>
          </w:p>
        </w:tc>
        <w:tc>
          <w:tcPr>
            <w:tcW w:w="993"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31,875</w:t>
            </w:r>
          </w:p>
        </w:tc>
        <w:tc>
          <w:tcPr>
            <w:tcW w:w="1134"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13</w:t>
            </w:r>
          </w:p>
        </w:tc>
        <w:tc>
          <w:tcPr>
            <w:tcW w:w="1101"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car</w:t>
            </w:r>
          </w:p>
        </w:tc>
      </w:tr>
      <w:tr w:rsidR="00C13902" w:rsidTr="00692258">
        <w:trPr>
          <w:trHeight w:val="300"/>
        </w:trPr>
        <w:tc>
          <w:tcPr>
            <w:cnfStyle w:val="001000000000" w:firstRow="0" w:lastRow="0" w:firstColumn="1" w:lastColumn="0" w:oddVBand="0" w:evenVBand="0" w:oddHBand="0" w:evenHBand="0" w:firstRowFirstColumn="0" w:firstRowLastColumn="0" w:lastRowFirstColumn="0" w:lastRowLastColumn="0"/>
            <w:tcW w:w="1406" w:type="dxa"/>
            <w:tcBorders>
              <w:top w:val="nil"/>
              <w:left w:val="nil"/>
              <w:bottom w:val="nil"/>
              <w:right w:val="nil"/>
            </w:tcBorders>
          </w:tcPr>
          <w:p w:rsidR="00C13902" w:rsidRDefault="00C13902" w:rsidP="00692258">
            <w:pPr>
              <w:spacing w:after="0" w:line="240" w:lineRule="auto"/>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Denali N. Park</w:t>
            </w:r>
          </w:p>
        </w:tc>
        <w:tc>
          <w:tcPr>
            <w:tcW w:w="1145"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-148.917</w:t>
            </w:r>
          </w:p>
        </w:tc>
        <w:tc>
          <w:tcPr>
            <w:tcW w:w="992"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63.396</w:t>
            </w:r>
          </w:p>
        </w:tc>
        <w:tc>
          <w:tcPr>
            <w:tcW w:w="992"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654</w:t>
            </w:r>
          </w:p>
        </w:tc>
        <w:tc>
          <w:tcPr>
            <w:tcW w:w="994"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w:t>
            </w:r>
          </w:p>
        </w:tc>
        <w:tc>
          <w:tcPr>
            <w:tcW w:w="708"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w:t>
            </w:r>
          </w:p>
        </w:tc>
        <w:tc>
          <w:tcPr>
            <w:tcW w:w="994"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432</w:t>
            </w:r>
          </w:p>
        </w:tc>
        <w:tc>
          <w:tcPr>
            <w:tcW w:w="992"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-17.6</w:t>
            </w:r>
          </w:p>
        </w:tc>
        <w:tc>
          <w:tcPr>
            <w:tcW w:w="850"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11.6</w:t>
            </w:r>
          </w:p>
        </w:tc>
        <w:tc>
          <w:tcPr>
            <w:tcW w:w="994"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-3.4</w:t>
            </w:r>
          </w:p>
        </w:tc>
        <w:tc>
          <w:tcPr>
            <w:tcW w:w="1275"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Alaska</w:t>
            </w:r>
          </w:p>
        </w:tc>
        <w:tc>
          <w:tcPr>
            <w:tcW w:w="993"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28,363</w:t>
            </w:r>
          </w:p>
        </w:tc>
        <w:tc>
          <w:tcPr>
            <w:tcW w:w="1134"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w:t>
            </w:r>
          </w:p>
        </w:tc>
        <w:tc>
          <w:tcPr>
            <w:tcW w:w="1101"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den</w:t>
            </w:r>
          </w:p>
        </w:tc>
      </w:tr>
      <w:tr w:rsidR="005E3391" w:rsidTr="00692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6" w:type="dxa"/>
            <w:tcBorders>
              <w:top w:val="nil"/>
              <w:left w:val="nil"/>
              <w:bottom w:val="nil"/>
              <w:right w:val="nil"/>
            </w:tcBorders>
          </w:tcPr>
          <w:p w:rsidR="00C13902" w:rsidRDefault="00C13902" w:rsidP="00692258">
            <w:pPr>
              <w:spacing w:after="0" w:line="240" w:lineRule="auto"/>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Fairbanks</w:t>
            </w:r>
          </w:p>
        </w:tc>
        <w:tc>
          <w:tcPr>
            <w:tcW w:w="1145"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-146.967</w:t>
            </w:r>
          </w:p>
        </w:tc>
        <w:tc>
          <w:tcPr>
            <w:tcW w:w="992"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64.406</w:t>
            </w:r>
          </w:p>
        </w:tc>
        <w:tc>
          <w:tcPr>
            <w:tcW w:w="992"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206</w:t>
            </w:r>
          </w:p>
        </w:tc>
        <w:tc>
          <w:tcPr>
            <w:tcW w:w="994"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21</w:t>
            </w:r>
          </w:p>
        </w:tc>
        <w:tc>
          <w:tcPr>
            <w:tcW w:w="708"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w:t>
            </w:r>
          </w:p>
        </w:tc>
        <w:tc>
          <w:tcPr>
            <w:tcW w:w="994"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342</w:t>
            </w:r>
          </w:p>
        </w:tc>
        <w:tc>
          <w:tcPr>
            <w:tcW w:w="992"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-23.5</w:t>
            </w:r>
          </w:p>
        </w:tc>
        <w:tc>
          <w:tcPr>
            <w:tcW w:w="850"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15.4</w:t>
            </w:r>
          </w:p>
        </w:tc>
        <w:tc>
          <w:tcPr>
            <w:tcW w:w="994"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-3.4</w:t>
            </w:r>
          </w:p>
        </w:tc>
        <w:tc>
          <w:tcPr>
            <w:tcW w:w="1275"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Alaska</w:t>
            </w:r>
          </w:p>
        </w:tc>
        <w:tc>
          <w:tcPr>
            <w:tcW w:w="993"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35,766</w:t>
            </w:r>
          </w:p>
        </w:tc>
        <w:tc>
          <w:tcPr>
            <w:tcW w:w="1134"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w:t>
            </w:r>
          </w:p>
        </w:tc>
        <w:tc>
          <w:tcPr>
            <w:tcW w:w="1101"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fbk</w:t>
            </w:r>
          </w:p>
        </w:tc>
      </w:tr>
      <w:tr w:rsidR="00C13902" w:rsidTr="00692258">
        <w:trPr>
          <w:trHeight w:val="300"/>
        </w:trPr>
        <w:tc>
          <w:tcPr>
            <w:cnfStyle w:val="001000000000" w:firstRow="0" w:lastRow="0" w:firstColumn="1" w:lastColumn="0" w:oddVBand="0" w:evenVBand="0" w:oddHBand="0" w:evenHBand="0" w:firstRowFirstColumn="0" w:firstRowLastColumn="0" w:lastRowFirstColumn="0" w:lastRowLastColumn="0"/>
            <w:tcW w:w="1406" w:type="dxa"/>
            <w:tcBorders>
              <w:top w:val="nil"/>
              <w:left w:val="nil"/>
              <w:bottom w:val="nil"/>
              <w:right w:val="nil"/>
            </w:tcBorders>
          </w:tcPr>
          <w:p w:rsidR="00C13902" w:rsidRDefault="00C13902" w:rsidP="00692258">
            <w:pPr>
              <w:spacing w:after="0" w:line="240" w:lineRule="auto"/>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Fort McMurray</w:t>
            </w:r>
          </w:p>
        </w:tc>
        <w:tc>
          <w:tcPr>
            <w:tcW w:w="1145"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-111.325</w:t>
            </w:r>
          </w:p>
        </w:tc>
        <w:tc>
          <w:tcPr>
            <w:tcW w:w="992"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56.588</w:t>
            </w:r>
          </w:p>
        </w:tc>
        <w:tc>
          <w:tcPr>
            <w:tcW w:w="992"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388</w:t>
            </w:r>
          </w:p>
        </w:tc>
        <w:tc>
          <w:tcPr>
            <w:tcW w:w="994"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23</w:t>
            </w:r>
          </w:p>
        </w:tc>
        <w:tc>
          <w:tcPr>
            <w:tcW w:w="708"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w:t>
            </w:r>
          </w:p>
        </w:tc>
        <w:tc>
          <w:tcPr>
            <w:tcW w:w="994"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453</w:t>
            </w:r>
          </w:p>
        </w:tc>
        <w:tc>
          <w:tcPr>
            <w:tcW w:w="992"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-20.7</w:t>
            </w:r>
          </w:p>
        </w:tc>
        <w:tc>
          <w:tcPr>
            <w:tcW w:w="850"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16.4</w:t>
            </w:r>
          </w:p>
        </w:tc>
        <w:tc>
          <w:tcPr>
            <w:tcW w:w="994"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w:t>
            </w:r>
          </w:p>
        </w:tc>
        <w:tc>
          <w:tcPr>
            <w:tcW w:w="1275"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Canada</w:t>
            </w:r>
          </w:p>
        </w:tc>
        <w:tc>
          <w:tcPr>
            <w:tcW w:w="993"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27,225</w:t>
            </w:r>
          </w:p>
        </w:tc>
        <w:tc>
          <w:tcPr>
            <w:tcW w:w="1134"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w:t>
            </w:r>
          </w:p>
        </w:tc>
        <w:tc>
          <w:tcPr>
            <w:tcW w:w="1101"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ftm</w:t>
            </w:r>
          </w:p>
        </w:tc>
      </w:tr>
      <w:tr w:rsidR="005E3391" w:rsidTr="00692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6" w:type="dxa"/>
            <w:tcBorders>
              <w:top w:val="nil"/>
              <w:left w:val="nil"/>
              <w:bottom w:val="nil"/>
              <w:right w:val="nil"/>
            </w:tcBorders>
          </w:tcPr>
          <w:p w:rsidR="00C13902" w:rsidRDefault="00C13902" w:rsidP="00692258">
            <w:pPr>
              <w:spacing w:after="0" w:line="240" w:lineRule="auto"/>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Grande Prairie</w:t>
            </w:r>
          </w:p>
        </w:tc>
        <w:tc>
          <w:tcPr>
            <w:tcW w:w="1145"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-118.569</w:t>
            </w:r>
          </w:p>
        </w:tc>
        <w:tc>
          <w:tcPr>
            <w:tcW w:w="992"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54.452</w:t>
            </w:r>
          </w:p>
        </w:tc>
        <w:tc>
          <w:tcPr>
            <w:tcW w:w="992"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983</w:t>
            </w:r>
          </w:p>
        </w:tc>
        <w:tc>
          <w:tcPr>
            <w:tcW w:w="994"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36</w:t>
            </w:r>
          </w:p>
        </w:tc>
        <w:tc>
          <w:tcPr>
            <w:tcW w:w="708"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w:t>
            </w:r>
          </w:p>
        </w:tc>
        <w:tc>
          <w:tcPr>
            <w:tcW w:w="994"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553</w:t>
            </w:r>
          </w:p>
        </w:tc>
        <w:tc>
          <w:tcPr>
            <w:tcW w:w="992"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-12.8</w:t>
            </w:r>
          </w:p>
        </w:tc>
        <w:tc>
          <w:tcPr>
            <w:tcW w:w="850"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w:t>
            </w:r>
          </w:p>
        </w:tc>
        <w:tc>
          <w:tcPr>
            <w:tcW w:w="994"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1.6</w:t>
            </w:r>
          </w:p>
        </w:tc>
        <w:tc>
          <w:tcPr>
            <w:tcW w:w="1275"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Canada</w:t>
            </w:r>
          </w:p>
        </w:tc>
        <w:tc>
          <w:tcPr>
            <w:tcW w:w="993"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19,040</w:t>
            </w:r>
          </w:p>
        </w:tc>
        <w:tc>
          <w:tcPr>
            <w:tcW w:w="1134"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w:t>
            </w:r>
          </w:p>
        </w:tc>
        <w:tc>
          <w:tcPr>
            <w:tcW w:w="1101"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gpr</w:t>
            </w:r>
          </w:p>
        </w:tc>
      </w:tr>
      <w:tr w:rsidR="00C13902" w:rsidTr="00692258">
        <w:trPr>
          <w:trHeight w:val="300"/>
        </w:trPr>
        <w:tc>
          <w:tcPr>
            <w:cnfStyle w:val="001000000000" w:firstRow="0" w:lastRow="0" w:firstColumn="1" w:lastColumn="0" w:oddVBand="0" w:evenVBand="0" w:oddHBand="0" w:evenHBand="0" w:firstRowFirstColumn="0" w:firstRowLastColumn="0" w:lastRowFirstColumn="0" w:lastRowLastColumn="0"/>
            <w:tcW w:w="1406" w:type="dxa"/>
            <w:tcBorders>
              <w:top w:val="nil"/>
              <w:left w:val="nil"/>
              <w:bottom w:val="nil"/>
              <w:right w:val="nil"/>
            </w:tcBorders>
          </w:tcPr>
          <w:p w:rsidR="00C13902" w:rsidRDefault="00C13902" w:rsidP="00692258">
            <w:pPr>
              <w:spacing w:after="0" w:line="240" w:lineRule="auto"/>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Hay River</w:t>
            </w:r>
          </w:p>
        </w:tc>
        <w:tc>
          <w:tcPr>
            <w:tcW w:w="1145"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-115.514</w:t>
            </w:r>
          </w:p>
        </w:tc>
        <w:tc>
          <w:tcPr>
            <w:tcW w:w="992"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60.737</w:t>
            </w:r>
          </w:p>
        </w:tc>
        <w:tc>
          <w:tcPr>
            <w:tcW w:w="992"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173</w:t>
            </w:r>
          </w:p>
        </w:tc>
        <w:tc>
          <w:tcPr>
            <w:tcW w:w="994"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19</w:t>
            </w:r>
          </w:p>
        </w:tc>
        <w:tc>
          <w:tcPr>
            <w:tcW w:w="708"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w:t>
            </w:r>
          </w:p>
        </w:tc>
        <w:tc>
          <w:tcPr>
            <w:tcW w:w="994"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339</w:t>
            </w:r>
          </w:p>
        </w:tc>
        <w:tc>
          <w:tcPr>
            <w:tcW w:w="992"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-25.1</w:t>
            </w:r>
          </w:p>
        </w:tc>
        <w:tc>
          <w:tcPr>
            <w:tcW w:w="850"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15.2</w:t>
            </w:r>
          </w:p>
        </w:tc>
        <w:tc>
          <w:tcPr>
            <w:tcW w:w="994"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-3.6</w:t>
            </w:r>
          </w:p>
        </w:tc>
        <w:tc>
          <w:tcPr>
            <w:tcW w:w="1275"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Canada</w:t>
            </w:r>
          </w:p>
        </w:tc>
        <w:tc>
          <w:tcPr>
            <w:tcW w:w="993"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31,553</w:t>
            </w:r>
          </w:p>
        </w:tc>
        <w:tc>
          <w:tcPr>
            <w:tcW w:w="1134"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w:t>
            </w:r>
          </w:p>
        </w:tc>
        <w:tc>
          <w:tcPr>
            <w:tcW w:w="1101"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hay</w:t>
            </w:r>
          </w:p>
        </w:tc>
      </w:tr>
      <w:tr w:rsidR="005E3391" w:rsidTr="00692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6" w:type="dxa"/>
            <w:tcBorders>
              <w:top w:val="nil"/>
              <w:left w:val="nil"/>
              <w:bottom w:val="nil"/>
              <w:right w:val="nil"/>
            </w:tcBorders>
          </w:tcPr>
          <w:p w:rsidR="00C13902" w:rsidRDefault="00C13902" w:rsidP="00692258">
            <w:pPr>
              <w:spacing w:after="0" w:line="240" w:lineRule="auto"/>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Love</w:t>
            </w:r>
          </w:p>
        </w:tc>
        <w:tc>
          <w:tcPr>
            <w:tcW w:w="1145"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-104.857</w:t>
            </w:r>
          </w:p>
        </w:tc>
        <w:tc>
          <w:tcPr>
            <w:tcW w:w="992"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53.409</w:t>
            </w:r>
          </w:p>
        </w:tc>
        <w:tc>
          <w:tcPr>
            <w:tcW w:w="992"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454</w:t>
            </w:r>
          </w:p>
        </w:tc>
        <w:tc>
          <w:tcPr>
            <w:tcW w:w="994"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w:t>
            </w:r>
          </w:p>
        </w:tc>
        <w:tc>
          <w:tcPr>
            <w:tcW w:w="708"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w:t>
            </w:r>
          </w:p>
        </w:tc>
        <w:tc>
          <w:tcPr>
            <w:tcW w:w="994"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451</w:t>
            </w:r>
          </w:p>
        </w:tc>
        <w:tc>
          <w:tcPr>
            <w:tcW w:w="992"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-20.9</w:t>
            </w:r>
          </w:p>
        </w:tc>
        <w:tc>
          <w:tcPr>
            <w:tcW w:w="850"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17.3</w:t>
            </w:r>
          </w:p>
        </w:tc>
        <w:tc>
          <w:tcPr>
            <w:tcW w:w="994"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0.1</w:t>
            </w:r>
          </w:p>
        </w:tc>
        <w:tc>
          <w:tcPr>
            <w:tcW w:w="1275"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Canada</w:t>
            </w:r>
          </w:p>
        </w:tc>
        <w:tc>
          <w:tcPr>
            <w:tcW w:w="993"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22,418</w:t>
            </w:r>
          </w:p>
        </w:tc>
        <w:tc>
          <w:tcPr>
            <w:tcW w:w="1134"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w:t>
            </w:r>
          </w:p>
        </w:tc>
        <w:tc>
          <w:tcPr>
            <w:tcW w:w="1101"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lov</w:t>
            </w:r>
          </w:p>
        </w:tc>
      </w:tr>
      <w:tr w:rsidR="00C13902" w:rsidTr="00692258">
        <w:trPr>
          <w:trHeight w:val="300"/>
        </w:trPr>
        <w:tc>
          <w:tcPr>
            <w:cnfStyle w:val="001000000000" w:firstRow="0" w:lastRow="0" w:firstColumn="1" w:lastColumn="0" w:oddVBand="0" w:evenVBand="0" w:oddHBand="0" w:evenHBand="0" w:firstRowFirstColumn="0" w:firstRowLastColumn="0" w:lastRowFirstColumn="0" w:lastRowLastColumn="0"/>
            <w:tcW w:w="1406" w:type="dxa"/>
            <w:tcBorders>
              <w:top w:val="nil"/>
              <w:left w:val="nil"/>
              <w:bottom w:val="nil"/>
              <w:right w:val="nil"/>
            </w:tcBorders>
          </w:tcPr>
          <w:p w:rsidR="00C13902" w:rsidRDefault="00C13902" w:rsidP="00692258">
            <w:pPr>
              <w:spacing w:after="0" w:line="240" w:lineRule="auto"/>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Melville</w:t>
            </w:r>
          </w:p>
        </w:tc>
        <w:tc>
          <w:tcPr>
            <w:tcW w:w="1145"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-102.363</w:t>
            </w:r>
          </w:p>
        </w:tc>
        <w:tc>
          <w:tcPr>
            <w:tcW w:w="992"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50.811</w:t>
            </w:r>
          </w:p>
        </w:tc>
        <w:tc>
          <w:tcPr>
            <w:tcW w:w="992"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529</w:t>
            </w:r>
          </w:p>
        </w:tc>
        <w:tc>
          <w:tcPr>
            <w:tcW w:w="994"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w:t>
            </w:r>
          </w:p>
        </w:tc>
        <w:tc>
          <w:tcPr>
            <w:tcW w:w="708"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w:t>
            </w:r>
          </w:p>
        </w:tc>
        <w:tc>
          <w:tcPr>
            <w:tcW w:w="994"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424</w:t>
            </w:r>
          </w:p>
        </w:tc>
        <w:tc>
          <w:tcPr>
            <w:tcW w:w="992"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-18.6</w:t>
            </w:r>
          </w:p>
        </w:tc>
        <w:tc>
          <w:tcPr>
            <w:tcW w:w="850"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18.1</w:t>
            </w:r>
          </w:p>
        </w:tc>
        <w:tc>
          <w:tcPr>
            <w:tcW w:w="994" w:type="dxa"/>
            <w:tcBorders>
              <w:top w:val="nil"/>
              <w:left w:val="nil"/>
              <w:bottom w:val="nil"/>
              <w:right w:val="single" w:sz="4" w:space="0" w:color="000001"/>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1.5</w:t>
            </w:r>
          </w:p>
        </w:tc>
        <w:tc>
          <w:tcPr>
            <w:tcW w:w="1275"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Canada</w:t>
            </w:r>
          </w:p>
        </w:tc>
        <w:tc>
          <w:tcPr>
            <w:tcW w:w="993"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25,551</w:t>
            </w:r>
          </w:p>
        </w:tc>
        <w:tc>
          <w:tcPr>
            <w:tcW w:w="1134"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w:t>
            </w:r>
          </w:p>
        </w:tc>
        <w:tc>
          <w:tcPr>
            <w:tcW w:w="1101" w:type="dxa"/>
            <w:tcBorders>
              <w:top w:val="nil"/>
              <w:left w:val="nil"/>
              <w:bottom w:val="nil"/>
              <w:right w:val="nil"/>
            </w:tcBorders>
          </w:tcPr>
          <w:p w:rsidR="00C13902" w:rsidRDefault="00C13902" w:rsidP="0069225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mel</w:t>
            </w:r>
          </w:p>
        </w:tc>
      </w:tr>
      <w:tr w:rsidR="005E3391" w:rsidTr="00692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6" w:type="dxa"/>
            <w:tcBorders>
              <w:top w:val="nil"/>
              <w:left w:val="nil"/>
              <w:bottom w:val="nil"/>
              <w:right w:val="nil"/>
            </w:tcBorders>
          </w:tcPr>
          <w:p w:rsidR="00C13902" w:rsidRDefault="00C13902" w:rsidP="00692258">
            <w:pPr>
              <w:spacing w:after="0" w:line="240" w:lineRule="auto"/>
              <w:rPr>
                <w:rFonts w:eastAsia="Times New Roman" w:cs="Times New Roman"/>
                <w:color w:val="000000"/>
                <w:sz w:val="20"/>
                <w:szCs w:val="20"/>
                <w:lang w:eastAsia="en-GB"/>
              </w:rPr>
            </w:pPr>
            <w:r>
              <w:rPr>
                <w:rFonts w:ascii="Times New Roman" w:eastAsia="Times New Roman" w:hAnsi="Times New Roman" w:cs="Times New Roman"/>
                <w:iCs/>
                <w:color w:val="000000"/>
                <w:sz w:val="20"/>
                <w:szCs w:val="20"/>
                <w:lang w:eastAsia="en-GB"/>
              </w:rPr>
              <w:t>Portage</w:t>
            </w:r>
          </w:p>
        </w:tc>
        <w:tc>
          <w:tcPr>
            <w:tcW w:w="1145"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-98.17</w:t>
            </w:r>
          </w:p>
        </w:tc>
        <w:tc>
          <w:tcPr>
            <w:tcW w:w="992"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49.561</w:t>
            </w:r>
          </w:p>
        </w:tc>
        <w:tc>
          <w:tcPr>
            <w:tcW w:w="992" w:type="dxa"/>
            <w:tcBorders>
              <w:top w:val="nil"/>
              <w:left w:val="nil"/>
              <w:bottom w:val="nil"/>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284</w:t>
            </w:r>
          </w:p>
        </w:tc>
        <w:tc>
          <w:tcPr>
            <w:tcW w:w="994" w:type="dxa"/>
            <w:tcBorders>
              <w:top w:val="nil"/>
              <w:left w:val="single" w:sz="4" w:space="0" w:color="000001"/>
              <w:bottom w:val="single" w:sz="4" w:space="0" w:color="00000A"/>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w:t>
            </w:r>
          </w:p>
        </w:tc>
        <w:tc>
          <w:tcPr>
            <w:tcW w:w="708" w:type="dxa"/>
            <w:tcBorders>
              <w:top w:val="nil"/>
              <w:left w:val="nil"/>
              <w:bottom w:val="single" w:sz="4" w:space="0" w:color="00000A"/>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w:t>
            </w:r>
          </w:p>
        </w:tc>
        <w:tc>
          <w:tcPr>
            <w:tcW w:w="994" w:type="dxa"/>
            <w:tcBorders>
              <w:top w:val="nil"/>
              <w:left w:val="nil"/>
              <w:bottom w:val="single" w:sz="4" w:space="0" w:color="00000A"/>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484</w:t>
            </w:r>
          </w:p>
        </w:tc>
        <w:tc>
          <w:tcPr>
            <w:tcW w:w="992" w:type="dxa"/>
            <w:tcBorders>
              <w:top w:val="nil"/>
              <w:left w:val="single" w:sz="4" w:space="0" w:color="000001"/>
              <w:bottom w:val="single" w:sz="4" w:space="0" w:color="00000A"/>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-17.2</w:t>
            </w:r>
          </w:p>
        </w:tc>
        <w:tc>
          <w:tcPr>
            <w:tcW w:w="850" w:type="dxa"/>
            <w:tcBorders>
              <w:top w:val="nil"/>
              <w:left w:val="nil"/>
              <w:bottom w:val="single" w:sz="4" w:space="0" w:color="00000A"/>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19.9</w:t>
            </w:r>
          </w:p>
        </w:tc>
        <w:tc>
          <w:tcPr>
            <w:tcW w:w="994" w:type="dxa"/>
            <w:tcBorders>
              <w:top w:val="nil"/>
              <w:left w:val="nil"/>
              <w:bottom w:val="single" w:sz="4" w:space="0" w:color="00000A"/>
              <w:right w:val="single" w:sz="4" w:space="0" w:color="000001"/>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2.9</w:t>
            </w:r>
          </w:p>
        </w:tc>
        <w:tc>
          <w:tcPr>
            <w:tcW w:w="1275" w:type="dxa"/>
            <w:tcBorders>
              <w:top w:val="nil"/>
              <w:left w:val="single" w:sz="4" w:space="0" w:color="000001"/>
              <w:bottom w:val="nil"/>
              <w:right w:val="nil"/>
            </w:tcBorders>
            <w:tcMar>
              <w:left w:w="103" w:type="dxa"/>
            </w:tcMar>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Canada</w:t>
            </w:r>
          </w:p>
        </w:tc>
        <w:tc>
          <w:tcPr>
            <w:tcW w:w="993"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28,265</w:t>
            </w:r>
          </w:p>
        </w:tc>
        <w:tc>
          <w:tcPr>
            <w:tcW w:w="1134"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w:t>
            </w:r>
          </w:p>
        </w:tc>
        <w:tc>
          <w:tcPr>
            <w:tcW w:w="1101" w:type="dxa"/>
            <w:tcBorders>
              <w:top w:val="nil"/>
              <w:left w:val="nil"/>
              <w:bottom w:val="nil"/>
              <w:right w:val="nil"/>
            </w:tcBorders>
          </w:tcPr>
          <w:p w:rsidR="00C13902" w:rsidRDefault="00C13902" w:rsidP="0069225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por</w:t>
            </w:r>
          </w:p>
        </w:tc>
      </w:tr>
    </w:tbl>
    <w:p w:rsidR="00C13902" w:rsidRDefault="00C13902" w:rsidP="00C13902"/>
    <w:p w:rsidR="00C13902" w:rsidRDefault="00C13902" w:rsidP="00C13902">
      <w:pPr>
        <w:sectPr w:rsidR="00C13902" w:rsidSect="00C13902">
          <w:pgSz w:w="16838" w:h="11906" w:orient="landscape"/>
          <w:pgMar w:top="1417" w:right="1417" w:bottom="1417" w:left="1134" w:header="0" w:footer="0" w:gutter="0"/>
          <w:cols w:space="720"/>
          <w:formProt w:val="0"/>
          <w:docGrid w:linePitch="360" w:charSpace="-2049"/>
        </w:sectPr>
      </w:pPr>
    </w:p>
    <w:p w:rsidR="00C13902" w:rsidRPr="00C655F1" w:rsidRDefault="005E3391" w:rsidP="00C655F1">
      <w:pPr>
        <w:suppressLineNumbers/>
        <w:spacing w:before="120" w:after="120" w:line="480" w:lineRule="auto"/>
      </w:pPr>
      <w:r>
        <w:rPr>
          <w:rFonts w:ascii="Times New Roman" w:eastAsia="SimSun" w:hAnsi="Times New Roman" w:cs="Mangal"/>
          <w:b/>
          <w:iCs/>
          <w:lang w:eastAsia="zh-CN" w:bidi="hi-IN"/>
        </w:rPr>
        <w:lastRenderedPageBreak/>
        <w:t>Table S</w:t>
      </w:r>
      <w:r w:rsidR="00C13902" w:rsidRPr="000B35A4">
        <w:rPr>
          <w:rFonts w:ascii="Times New Roman" w:eastAsia="SimSun" w:hAnsi="Times New Roman" w:cs="Mangal"/>
          <w:b/>
          <w:iCs/>
          <w:lang w:eastAsia="zh-CN" w:bidi="hi-IN"/>
        </w:rPr>
        <w:t>2</w:t>
      </w:r>
      <w:r>
        <w:rPr>
          <w:rFonts w:ascii="Times New Roman" w:eastAsia="SimSun" w:hAnsi="Times New Roman" w:cs="Mangal"/>
          <w:b/>
          <w:iCs/>
          <w:lang w:eastAsia="zh-CN" w:bidi="hi-IN"/>
        </w:rPr>
        <w:t>.</w:t>
      </w:r>
      <w:r w:rsidR="00C13902" w:rsidRPr="00C655F1">
        <w:rPr>
          <w:rFonts w:ascii="Times New Roman" w:eastAsia="SimSun" w:hAnsi="Times New Roman" w:cs="Mangal"/>
          <w:b/>
          <w:iCs/>
          <w:lang w:eastAsia="zh-CN" w:bidi="hi-IN"/>
        </w:rPr>
        <w:t xml:space="preserve"> Read loss in the sequence processing steps.</w:t>
      </w:r>
      <w:r w:rsidR="00C13902" w:rsidRPr="00C655F1">
        <w:rPr>
          <w:rFonts w:ascii="Times New Roman" w:eastAsia="SimSun" w:hAnsi="Times New Roman" w:cs="Mangal"/>
          <w:iCs/>
          <w:lang w:eastAsia="zh-CN" w:bidi="hi-IN"/>
        </w:rPr>
        <w:t xml:space="preserve"> For each step in the processing pipeline</w:t>
      </w:r>
      <w:r w:rsidR="007578B2">
        <w:rPr>
          <w:rFonts w:ascii="Times New Roman" w:eastAsia="SimSun" w:hAnsi="Times New Roman" w:cs="Mangal"/>
          <w:iCs/>
          <w:lang w:eastAsia="zh-CN" w:bidi="hi-IN"/>
        </w:rPr>
        <w:t xml:space="preserve"> for a dataset of ITS1 rDNA sequences extracted from balsam poplar leaves</w:t>
      </w:r>
      <w:bookmarkStart w:id="0" w:name="_GoBack"/>
      <w:bookmarkEnd w:id="0"/>
      <w:r w:rsidR="00C13902" w:rsidRPr="00C655F1">
        <w:rPr>
          <w:rFonts w:ascii="Times New Roman" w:eastAsia="SimSun" w:hAnsi="Times New Roman" w:cs="Mangal"/>
          <w:iCs/>
          <w:lang w:eastAsia="zh-CN" w:bidi="hi-IN"/>
        </w:rPr>
        <w:t>, the number of remaining reads is given, as well as the proportion of reads lost from the previous step.</w:t>
      </w:r>
    </w:p>
    <w:tbl>
      <w:tblPr>
        <w:tblStyle w:val="thesistable2"/>
        <w:tblW w:w="6792" w:type="dxa"/>
        <w:tblLook w:val="04A0" w:firstRow="1" w:lastRow="0" w:firstColumn="1" w:lastColumn="0" w:noHBand="0" w:noVBand="1"/>
      </w:tblPr>
      <w:tblGrid>
        <w:gridCol w:w="3061"/>
        <w:gridCol w:w="1871"/>
        <w:gridCol w:w="1860"/>
      </w:tblGrid>
      <w:tr w:rsidR="00C13902" w:rsidRPr="00C655F1" w:rsidTr="0069225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61" w:type="dxa"/>
            <w:tcBorders>
              <w:top w:val="single" w:sz="4" w:space="0" w:color="00000A"/>
              <w:bottom w:val="single" w:sz="4" w:space="0" w:color="00000A"/>
            </w:tcBorders>
          </w:tcPr>
          <w:p w:rsidR="00C13902" w:rsidRPr="005E3391" w:rsidRDefault="00C13902" w:rsidP="00C655F1">
            <w:pPr>
              <w:spacing w:after="0" w:line="480" w:lineRule="auto"/>
              <w:rPr>
                <w:rFonts w:ascii="Times New Roman" w:hAnsi="Times New Roman"/>
                <w:iCs/>
                <w:szCs w:val="22"/>
                <w:lang w:val="en-GB"/>
              </w:rPr>
            </w:pPr>
            <w:r w:rsidRPr="005E3391">
              <w:rPr>
                <w:rFonts w:ascii="Times New Roman" w:hAnsi="Times New Roman"/>
                <w:iCs/>
                <w:szCs w:val="22"/>
                <w:lang w:val="en-GB"/>
              </w:rPr>
              <w:t>Sequence processing step</w:t>
            </w:r>
          </w:p>
        </w:tc>
        <w:tc>
          <w:tcPr>
            <w:tcW w:w="1871" w:type="dxa"/>
            <w:tcBorders>
              <w:top w:val="single" w:sz="4" w:space="0" w:color="00000A"/>
              <w:bottom w:val="single" w:sz="4" w:space="0" w:color="00000A"/>
            </w:tcBorders>
          </w:tcPr>
          <w:p w:rsidR="00C13902" w:rsidRPr="005E3391" w:rsidRDefault="00C13902" w:rsidP="00C655F1">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iCs/>
                <w:szCs w:val="22"/>
                <w:lang w:val="en-GB"/>
              </w:rPr>
            </w:pPr>
            <w:r w:rsidRPr="005E3391">
              <w:rPr>
                <w:rFonts w:ascii="Times New Roman" w:hAnsi="Times New Roman"/>
                <w:iCs/>
                <w:szCs w:val="22"/>
                <w:lang w:val="en-GB"/>
              </w:rPr>
              <w:t>Remaining number of reads</w:t>
            </w:r>
          </w:p>
        </w:tc>
        <w:tc>
          <w:tcPr>
            <w:tcW w:w="1860" w:type="dxa"/>
            <w:tcBorders>
              <w:top w:val="single" w:sz="4" w:space="0" w:color="00000A"/>
              <w:bottom w:val="single" w:sz="4" w:space="0" w:color="00000A"/>
            </w:tcBorders>
          </w:tcPr>
          <w:p w:rsidR="00C13902" w:rsidRPr="00C655F1" w:rsidRDefault="00C13902" w:rsidP="00C655F1">
            <w:pPr>
              <w:spacing w:after="0" w:line="480" w:lineRule="auto"/>
              <w:cnfStyle w:val="100000000000" w:firstRow="1" w:lastRow="0" w:firstColumn="0" w:lastColumn="0" w:oddVBand="0" w:evenVBand="0" w:oddHBand="0" w:evenHBand="0" w:firstRowFirstColumn="0" w:firstRowLastColumn="0" w:lastRowFirstColumn="0" w:lastRowLastColumn="0"/>
              <w:rPr>
                <w:szCs w:val="22"/>
                <w:lang w:val="en-GB"/>
              </w:rPr>
            </w:pPr>
            <w:r w:rsidRPr="00C655F1">
              <w:rPr>
                <w:rFonts w:ascii="Times New Roman" w:hAnsi="Times New Roman"/>
                <w:iCs/>
                <w:szCs w:val="22"/>
                <w:lang w:val="en-GB"/>
              </w:rPr>
              <w:t>Percentage lost to previous step</w:t>
            </w:r>
          </w:p>
        </w:tc>
      </w:tr>
      <w:tr w:rsidR="00C13902" w:rsidRPr="00C655F1" w:rsidTr="00692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1" w:type="dxa"/>
            <w:tcBorders>
              <w:top w:val="single" w:sz="4" w:space="0" w:color="00000A"/>
              <w:left w:val="nil"/>
              <w:bottom w:val="nil"/>
              <w:right w:val="single" w:sz="4" w:space="0" w:color="00000A"/>
            </w:tcBorders>
          </w:tcPr>
          <w:p w:rsidR="00C13902" w:rsidRPr="00C655F1" w:rsidRDefault="00C13902" w:rsidP="00C655F1">
            <w:pPr>
              <w:spacing w:after="0" w:line="480" w:lineRule="auto"/>
              <w:rPr>
                <w:rFonts w:ascii="Times New Roman" w:hAnsi="Times New Roman"/>
                <w:iCs/>
                <w:szCs w:val="22"/>
              </w:rPr>
            </w:pPr>
            <w:r w:rsidRPr="00C655F1">
              <w:rPr>
                <w:rFonts w:ascii="Times New Roman" w:hAnsi="Times New Roman"/>
                <w:iCs/>
                <w:szCs w:val="22"/>
              </w:rPr>
              <w:t>Trimming to 200bp</w:t>
            </w:r>
          </w:p>
        </w:tc>
        <w:tc>
          <w:tcPr>
            <w:tcW w:w="1871" w:type="dxa"/>
            <w:tcBorders>
              <w:top w:val="nil"/>
              <w:left w:val="single" w:sz="4" w:space="0" w:color="00000A"/>
              <w:bottom w:val="nil"/>
              <w:right w:val="nil"/>
            </w:tcBorders>
            <w:tcMar>
              <w:left w:w="103" w:type="dxa"/>
            </w:tcMar>
          </w:tcPr>
          <w:p w:rsidR="00C13902" w:rsidRPr="00C655F1" w:rsidRDefault="00C13902" w:rsidP="00C655F1">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9,074,044</w:t>
            </w:r>
          </w:p>
        </w:tc>
        <w:tc>
          <w:tcPr>
            <w:tcW w:w="1860" w:type="dxa"/>
            <w:tcBorders>
              <w:top w:val="nil"/>
              <w:left w:val="nil"/>
              <w:bottom w:val="nil"/>
              <w:right w:val="nil"/>
            </w:tcBorders>
          </w:tcPr>
          <w:p w:rsidR="00C13902" w:rsidRPr="00C655F1" w:rsidRDefault="00C13902" w:rsidP="00C655F1">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0.00%</w:t>
            </w:r>
          </w:p>
        </w:tc>
      </w:tr>
      <w:tr w:rsidR="00C13902" w:rsidRPr="00C655F1" w:rsidTr="00692258">
        <w:trPr>
          <w:trHeight w:val="300"/>
        </w:trPr>
        <w:tc>
          <w:tcPr>
            <w:cnfStyle w:val="001000000000" w:firstRow="0" w:lastRow="0" w:firstColumn="1" w:lastColumn="0" w:oddVBand="0" w:evenVBand="0" w:oddHBand="0" w:evenHBand="0" w:firstRowFirstColumn="0" w:firstRowLastColumn="0" w:lastRowFirstColumn="0" w:lastRowLastColumn="0"/>
            <w:tcW w:w="3061" w:type="dxa"/>
            <w:tcBorders>
              <w:top w:val="nil"/>
              <w:left w:val="nil"/>
              <w:bottom w:val="nil"/>
              <w:right w:val="single" w:sz="4" w:space="0" w:color="00000A"/>
            </w:tcBorders>
          </w:tcPr>
          <w:p w:rsidR="00C13902" w:rsidRPr="00C655F1" w:rsidRDefault="00C13902" w:rsidP="00C655F1">
            <w:pPr>
              <w:spacing w:after="0" w:line="480" w:lineRule="auto"/>
              <w:rPr>
                <w:rFonts w:ascii="Times New Roman" w:hAnsi="Times New Roman"/>
                <w:iCs/>
                <w:szCs w:val="22"/>
              </w:rPr>
            </w:pPr>
            <w:r w:rsidRPr="00C655F1">
              <w:rPr>
                <w:rFonts w:ascii="Times New Roman" w:hAnsi="Times New Roman"/>
                <w:iCs/>
                <w:szCs w:val="22"/>
              </w:rPr>
              <w:t>Quality filtering</w:t>
            </w:r>
          </w:p>
        </w:tc>
        <w:tc>
          <w:tcPr>
            <w:tcW w:w="1871" w:type="dxa"/>
            <w:tcBorders>
              <w:top w:val="nil"/>
              <w:left w:val="single" w:sz="4" w:space="0" w:color="00000A"/>
              <w:bottom w:val="nil"/>
              <w:right w:val="nil"/>
            </w:tcBorders>
            <w:tcMar>
              <w:left w:w="103" w:type="dxa"/>
            </w:tcMar>
          </w:tcPr>
          <w:p w:rsidR="00C13902" w:rsidRPr="00C655F1" w:rsidRDefault="00C13902" w:rsidP="00C655F1">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8,101,308</w:t>
            </w:r>
          </w:p>
        </w:tc>
        <w:tc>
          <w:tcPr>
            <w:tcW w:w="1860" w:type="dxa"/>
            <w:tcBorders>
              <w:top w:val="nil"/>
              <w:left w:val="nil"/>
              <w:bottom w:val="nil"/>
              <w:right w:val="nil"/>
            </w:tcBorders>
          </w:tcPr>
          <w:p w:rsidR="00C13902" w:rsidRPr="00C655F1" w:rsidRDefault="00C13902" w:rsidP="00C655F1">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10.72%</w:t>
            </w:r>
          </w:p>
        </w:tc>
      </w:tr>
      <w:tr w:rsidR="00C13902" w:rsidRPr="00C655F1" w:rsidTr="00692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1" w:type="dxa"/>
            <w:tcBorders>
              <w:top w:val="nil"/>
              <w:left w:val="nil"/>
              <w:bottom w:val="nil"/>
              <w:right w:val="single" w:sz="4" w:space="0" w:color="00000A"/>
            </w:tcBorders>
          </w:tcPr>
          <w:p w:rsidR="00C13902" w:rsidRPr="00C655F1" w:rsidRDefault="00C13902" w:rsidP="00C655F1">
            <w:pPr>
              <w:spacing w:after="0" w:line="480" w:lineRule="auto"/>
              <w:rPr>
                <w:rFonts w:ascii="Times New Roman" w:hAnsi="Times New Roman"/>
                <w:iCs/>
                <w:szCs w:val="22"/>
              </w:rPr>
            </w:pPr>
            <w:r w:rsidRPr="00C655F1">
              <w:rPr>
                <w:rFonts w:ascii="Times New Roman" w:hAnsi="Times New Roman"/>
                <w:iCs/>
                <w:szCs w:val="22"/>
              </w:rPr>
              <w:t>Paired end assembly</w:t>
            </w:r>
          </w:p>
        </w:tc>
        <w:tc>
          <w:tcPr>
            <w:tcW w:w="1871" w:type="dxa"/>
            <w:tcBorders>
              <w:top w:val="nil"/>
              <w:left w:val="single" w:sz="4" w:space="0" w:color="00000A"/>
              <w:bottom w:val="nil"/>
              <w:right w:val="nil"/>
            </w:tcBorders>
            <w:tcMar>
              <w:left w:w="103" w:type="dxa"/>
            </w:tcMar>
          </w:tcPr>
          <w:p w:rsidR="00C13902" w:rsidRPr="00C655F1" w:rsidRDefault="00C13902" w:rsidP="00C655F1">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7,177,744</w:t>
            </w:r>
          </w:p>
        </w:tc>
        <w:tc>
          <w:tcPr>
            <w:tcW w:w="1860" w:type="dxa"/>
            <w:tcBorders>
              <w:top w:val="nil"/>
              <w:left w:val="nil"/>
              <w:bottom w:val="nil"/>
              <w:right w:val="nil"/>
            </w:tcBorders>
          </w:tcPr>
          <w:p w:rsidR="00C13902" w:rsidRPr="00C655F1" w:rsidRDefault="00C13902" w:rsidP="00C655F1">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11.40%</w:t>
            </w:r>
          </w:p>
        </w:tc>
      </w:tr>
      <w:tr w:rsidR="00C13902" w:rsidRPr="00C655F1" w:rsidTr="00692258">
        <w:trPr>
          <w:trHeight w:val="300"/>
        </w:trPr>
        <w:tc>
          <w:tcPr>
            <w:cnfStyle w:val="001000000000" w:firstRow="0" w:lastRow="0" w:firstColumn="1" w:lastColumn="0" w:oddVBand="0" w:evenVBand="0" w:oddHBand="0" w:evenHBand="0" w:firstRowFirstColumn="0" w:firstRowLastColumn="0" w:lastRowFirstColumn="0" w:lastRowLastColumn="0"/>
            <w:tcW w:w="3061" w:type="dxa"/>
            <w:tcBorders>
              <w:top w:val="nil"/>
              <w:left w:val="nil"/>
              <w:bottom w:val="nil"/>
              <w:right w:val="single" w:sz="4" w:space="0" w:color="00000A"/>
            </w:tcBorders>
          </w:tcPr>
          <w:p w:rsidR="00C13902" w:rsidRPr="00C655F1" w:rsidRDefault="00C13902" w:rsidP="00C655F1">
            <w:pPr>
              <w:spacing w:after="0" w:line="480" w:lineRule="auto"/>
              <w:rPr>
                <w:rFonts w:ascii="Times New Roman" w:hAnsi="Times New Roman"/>
                <w:iCs/>
                <w:szCs w:val="22"/>
              </w:rPr>
            </w:pPr>
            <w:r w:rsidRPr="00C655F1">
              <w:rPr>
                <w:rFonts w:ascii="Times New Roman" w:hAnsi="Times New Roman"/>
                <w:iCs/>
                <w:szCs w:val="22"/>
              </w:rPr>
              <w:t>Removal of primers</w:t>
            </w:r>
          </w:p>
        </w:tc>
        <w:tc>
          <w:tcPr>
            <w:tcW w:w="1871" w:type="dxa"/>
            <w:tcBorders>
              <w:top w:val="nil"/>
              <w:left w:val="single" w:sz="4" w:space="0" w:color="00000A"/>
              <w:bottom w:val="nil"/>
              <w:right w:val="nil"/>
            </w:tcBorders>
            <w:tcMar>
              <w:left w:w="103" w:type="dxa"/>
            </w:tcMar>
          </w:tcPr>
          <w:p w:rsidR="00C13902" w:rsidRPr="00C655F1" w:rsidRDefault="00C13902" w:rsidP="00C655F1">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6,807,044</w:t>
            </w:r>
          </w:p>
        </w:tc>
        <w:tc>
          <w:tcPr>
            <w:tcW w:w="1860" w:type="dxa"/>
            <w:tcBorders>
              <w:top w:val="nil"/>
              <w:left w:val="nil"/>
              <w:bottom w:val="nil"/>
              <w:right w:val="nil"/>
            </w:tcBorders>
          </w:tcPr>
          <w:p w:rsidR="00C13902" w:rsidRPr="00C655F1" w:rsidRDefault="00C13902" w:rsidP="00C655F1">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5.16%</w:t>
            </w:r>
          </w:p>
        </w:tc>
      </w:tr>
      <w:tr w:rsidR="00C13902" w:rsidRPr="00C655F1" w:rsidTr="00692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1" w:type="dxa"/>
            <w:tcBorders>
              <w:top w:val="nil"/>
              <w:left w:val="nil"/>
              <w:bottom w:val="nil"/>
              <w:right w:val="single" w:sz="4" w:space="0" w:color="00000A"/>
            </w:tcBorders>
          </w:tcPr>
          <w:p w:rsidR="00C13902" w:rsidRPr="00C655F1" w:rsidRDefault="00C13902" w:rsidP="00C655F1">
            <w:pPr>
              <w:spacing w:after="0" w:line="480" w:lineRule="auto"/>
              <w:rPr>
                <w:rFonts w:ascii="Times New Roman" w:hAnsi="Times New Roman"/>
                <w:iCs/>
                <w:szCs w:val="22"/>
              </w:rPr>
            </w:pPr>
            <w:r w:rsidRPr="00C655F1">
              <w:rPr>
                <w:rFonts w:ascii="Times New Roman" w:hAnsi="Times New Roman"/>
                <w:iCs/>
                <w:szCs w:val="22"/>
              </w:rPr>
              <w:t>Removal of primer artefacts</w:t>
            </w:r>
          </w:p>
        </w:tc>
        <w:tc>
          <w:tcPr>
            <w:tcW w:w="1871" w:type="dxa"/>
            <w:tcBorders>
              <w:top w:val="nil"/>
              <w:left w:val="single" w:sz="4" w:space="0" w:color="00000A"/>
              <w:bottom w:val="nil"/>
              <w:right w:val="nil"/>
            </w:tcBorders>
            <w:tcMar>
              <w:left w:w="103" w:type="dxa"/>
            </w:tcMar>
          </w:tcPr>
          <w:p w:rsidR="00C13902" w:rsidRPr="00C655F1" w:rsidRDefault="00C13902" w:rsidP="00C655F1">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6,776,726</w:t>
            </w:r>
          </w:p>
        </w:tc>
        <w:tc>
          <w:tcPr>
            <w:tcW w:w="1860" w:type="dxa"/>
            <w:tcBorders>
              <w:top w:val="nil"/>
              <w:left w:val="nil"/>
              <w:bottom w:val="nil"/>
              <w:right w:val="nil"/>
            </w:tcBorders>
          </w:tcPr>
          <w:p w:rsidR="00C13902" w:rsidRPr="00C655F1" w:rsidRDefault="00C13902" w:rsidP="00C655F1">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0.45%</w:t>
            </w:r>
          </w:p>
        </w:tc>
      </w:tr>
      <w:tr w:rsidR="00C13902" w:rsidRPr="00C655F1" w:rsidTr="00692258">
        <w:trPr>
          <w:trHeight w:val="300"/>
        </w:trPr>
        <w:tc>
          <w:tcPr>
            <w:cnfStyle w:val="001000000000" w:firstRow="0" w:lastRow="0" w:firstColumn="1" w:lastColumn="0" w:oddVBand="0" w:evenVBand="0" w:oddHBand="0" w:evenHBand="0" w:firstRowFirstColumn="0" w:firstRowLastColumn="0" w:lastRowFirstColumn="0" w:lastRowLastColumn="0"/>
            <w:tcW w:w="3061" w:type="dxa"/>
            <w:tcBorders>
              <w:top w:val="nil"/>
              <w:left w:val="nil"/>
              <w:bottom w:val="nil"/>
              <w:right w:val="single" w:sz="4" w:space="0" w:color="00000A"/>
            </w:tcBorders>
          </w:tcPr>
          <w:p w:rsidR="00C13902" w:rsidRPr="00C655F1" w:rsidRDefault="00C13902" w:rsidP="00C655F1">
            <w:pPr>
              <w:spacing w:after="0" w:line="480" w:lineRule="auto"/>
              <w:rPr>
                <w:rFonts w:ascii="Times New Roman" w:hAnsi="Times New Roman"/>
                <w:iCs/>
                <w:szCs w:val="22"/>
              </w:rPr>
            </w:pPr>
            <w:r w:rsidRPr="00C655F1">
              <w:rPr>
                <w:rFonts w:ascii="Times New Roman" w:hAnsi="Times New Roman"/>
                <w:iCs/>
                <w:szCs w:val="22"/>
              </w:rPr>
              <w:t>ITS extractions</w:t>
            </w:r>
          </w:p>
        </w:tc>
        <w:tc>
          <w:tcPr>
            <w:tcW w:w="1871" w:type="dxa"/>
            <w:tcBorders>
              <w:top w:val="nil"/>
              <w:left w:val="single" w:sz="4" w:space="0" w:color="00000A"/>
              <w:bottom w:val="nil"/>
              <w:right w:val="nil"/>
            </w:tcBorders>
            <w:tcMar>
              <w:left w:w="103" w:type="dxa"/>
            </w:tcMar>
          </w:tcPr>
          <w:p w:rsidR="00C13902" w:rsidRPr="00C655F1" w:rsidRDefault="00C13902" w:rsidP="00C655F1">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5,620,169</w:t>
            </w:r>
          </w:p>
        </w:tc>
        <w:tc>
          <w:tcPr>
            <w:tcW w:w="1860" w:type="dxa"/>
            <w:tcBorders>
              <w:top w:val="nil"/>
              <w:left w:val="nil"/>
              <w:bottom w:val="nil"/>
              <w:right w:val="nil"/>
            </w:tcBorders>
          </w:tcPr>
          <w:p w:rsidR="00C13902" w:rsidRPr="00C655F1" w:rsidRDefault="00C13902" w:rsidP="00C655F1">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17.07%</w:t>
            </w:r>
          </w:p>
        </w:tc>
      </w:tr>
      <w:tr w:rsidR="00C13902" w:rsidRPr="00C655F1" w:rsidTr="00692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1" w:type="dxa"/>
            <w:tcBorders>
              <w:top w:val="nil"/>
              <w:left w:val="nil"/>
              <w:bottom w:val="nil"/>
              <w:right w:val="single" w:sz="4" w:space="0" w:color="00000A"/>
            </w:tcBorders>
          </w:tcPr>
          <w:p w:rsidR="00C13902" w:rsidRPr="00C655F1" w:rsidRDefault="00C13902" w:rsidP="00C655F1">
            <w:pPr>
              <w:spacing w:after="0" w:line="480" w:lineRule="auto"/>
              <w:rPr>
                <w:rFonts w:ascii="Times New Roman" w:hAnsi="Times New Roman"/>
                <w:iCs/>
                <w:szCs w:val="22"/>
              </w:rPr>
            </w:pPr>
            <w:r w:rsidRPr="00C655F1">
              <w:rPr>
                <w:rFonts w:ascii="Times New Roman" w:hAnsi="Times New Roman"/>
                <w:iCs/>
                <w:szCs w:val="22"/>
              </w:rPr>
              <w:t>Removal of short sequences</w:t>
            </w:r>
          </w:p>
        </w:tc>
        <w:tc>
          <w:tcPr>
            <w:tcW w:w="1871" w:type="dxa"/>
            <w:tcBorders>
              <w:top w:val="nil"/>
              <w:left w:val="single" w:sz="4" w:space="0" w:color="00000A"/>
              <w:bottom w:val="nil"/>
              <w:right w:val="nil"/>
            </w:tcBorders>
            <w:tcMar>
              <w:left w:w="103" w:type="dxa"/>
            </w:tcMar>
          </w:tcPr>
          <w:p w:rsidR="00C13902" w:rsidRPr="00C655F1" w:rsidRDefault="00C13902" w:rsidP="00C655F1">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5,524,137</w:t>
            </w:r>
          </w:p>
        </w:tc>
        <w:tc>
          <w:tcPr>
            <w:tcW w:w="1860" w:type="dxa"/>
            <w:tcBorders>
              <w:top w:val="nil"/>
              <w:left w:val="nil"/>
              <w:bottom w:val="nil"/>
              <w:right w:val="nil"/>
            </w:tcBorders>
          </w:tcPr>
          <w:p w:rsidR="00C13902" w:rsidRPr="00C655F1" w:rsidRDefault="00C13902" w:rsidP="00C655F1">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1.71%</w:t>
            </w:r>
          </w:p>
        </w:tc>
      </w:tr>
      <w:tr w:rsidR="00C13902" w:rsidRPr="00C655F1" w:rsidTr="00692258">
        <w:trPr>
          <w:trHeight w:val="300"/>
        </w:trPr>
        <w:tc>
          <w:tcPr>
            <w:cnfStyle w:val="001000000000" w:firstRow="0" w:lastRow="0" w:firstColumn="1" w:lastColumn="0" w:oddVBand="0" w:evenVBand="0" w:oddHBand="0" w:evenHBand="0" w:firstRowFirstColumn="0" w:firstRowLastColumn="0" w:lastRowFirstColumn="0" w:lastRowLastColumn="0"/>
            <w:tcW w:w="3061" w:type="dxa"/>
            <w:tcBorders>
              <w:top w:val="nil"/>
              <w:left w:val="nil"/>
              <w:bottom w:val="nil"/>
              <w:right w:val="single" w:sz="4" w:space="0" w:color="00000A"/>
            </w:tcBorders>
          </w:tcPr>
          <w:p w:rsidR="00C13902" w:rsidRPr="00C655F1" w:rsidRDefault="00C13902" w:rsidP="00C655F1">
            <w:pPr>
              <w:spacing w:after="0" w:line="480" w:lineRule="auto"/>
              <w:rPr>
                <w:rFonts w:ascii="Times New Roman" w:hAnsi="Times New Roman"/>
                <w:iCs/>
                <w:szCs w:val="22"/>
              </w:rPr>
            </w:pPr>
            <w:r w:rsidRPr="00C655F1">
              <w:rPr>
                <w:rFonts w:ascii="Times New Roman" w:hAnsi="Times New Roman"/>
                <w:iCs/>
                <w:szCs w:val="22"/>
              </w:rPr>
              <w:t xml:space="preserve">Assignment to </w:t>
            </w:r>
            <w:r w:rsidRPr="00C655F1">
              <w:rPr>
                <w:rFonts w:ascii="Times New Roman" w:hAnsi="Times New Roman"/>
                <w:i/>
                <w:iCs/>
                <w:szCs w:val="22"/>
              </w:rPr>
              <w:t>S. populicola</w:t>
            </w:r>
          </w:p>
        </w:tc>
        <w:tc>
          <w:tcPr>
            <w:tcW w:w="1871" w:type="dxa"/>
            <w:tcBorders>
              <w:top w:val="nil"/>
              <w:left w:val="single" w:sz="4" w:space="0" w:color="00000A"/>
              <w:bottom w:val="nil"/>
              <w:right w:val="nil"/>
            </w:tcBorders>
            <w:tcMar>
              <w:left w:w="103" w:type="dxa"/>
            </w:tcMar>
          </w:tcPr>
          <w:p w:rsidR="00C13902" w:rsidRPr="00C655F1" w:rsidRDefault="00C13902" w:rsidP="00C655F1">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116,603</w:t>
            </w:r>
          </w:p>
        </w:tc>
        <w:tc>
          <w:tcPr>
            <w:tcW w:w="1860" w:type="dxa"/>
            <w:tcBorders>
              <w:top w:val="nil"/>
              <w:left w:val="nil"/>
              <w:bottom w:val="nil"/>
              <w:right w:val="nil"/>
            </w:tcBorders>
          </w:tcPr>
          <w:p w:rsidR="00C13902" w:rsidRPr="00C655F1" w:rsidRDefault="00C13902" w:rsidP="00C655F1">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Mangal"/>
                <w:szCs w:val="22"/>
              </w:rPr>
            </w:pPr>
            <w:r w:rsidRPr="00C655F1">
              <w:rPr>
                <w:rFonts w:ascii="Times New Roman" w:eastAsia="SimSun" w:hAnsi="Times New Roman" w:cs="Mangal"/>
                <w:szCs w:val="22"/>
              </w:rPr>
              <w:t>97.89%</w:t>
            </w:r>
          </w:p>
        </w:tc>
      </w:tr>
    </w:tbl>
    <w:p w:rsidR="007578B2" w:rsidRDefault="007578B2" w:rsidP="00C655F1">
      <w:pPr>
        <w:spacing w:line="480" w:lineRule="auto"/>
        <w:rPr>
          <w:rFonts w:ascii="Times New Roman" w:hAnsi="Times New Roman" w:cs="Times New Roman"/>
          <w:b/>
        </w:rPr>
        <w:sectPr w:rsidR="007578B2" w:rsidSect="00C13902">
          <w:pgSz w:w="11906" w:h="16838"/>
          <w:pgMar w:top="1417" w:right="1417" w:bottom="1134" w:left="1417" w:header="0" w:footer="0" w:gutter="0"/>
          <w:cols w:space="720"/>
          <w:formProt w:val="0"/>
          <w:docGrid w:linePitch="360" w:charSpace="-2049"/>
        </w:sectPr>
      </w:pPr>
    </w:p>
    <w:p w:rsidR="00F5693F" w:rsidRDefault="001E0A9D">
      <w:pPr>
        <w:rPr>
          <w:rFonts w:ascii="Times New Roman" w:hAnsi="Times New Roman" w:cs="Times New Roman"/>
          <w:b/>
          <w:sz w:val="24"/>
          <w:szCs w:val="24"/>
          <w:lang w:val="de-DE"/>
        </w:rPr>
      </w:pPr>
      <w:r>
        <w:rPr>
          <w:noProof/>
          <w:lang w:eastAsia="en-GB"/>
        </w:rPr>
        <w:lastRenderedPageBreak/>
        <w:drawing>
          <wp:inline distT="0" distB="635" distL="0" distR="0">
            <wp:extent cx="5760720" cy="4076700"/>
            <wp:effectExtent l="0" t="0" r="0" b="0"/>
            <wp:docPr id="1" name="Grafik 1" descr="C:\Users\Fiona\Desktop\Master_thesis\Statistical_analysis\Mycosphaerella_oligotypes\Mycosphaerella-oligotypes\correlation_matrix_enviro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Fiona\Desktop\Master_thesis\Statistical_analysis\Mycosphaerella_oligotypes\Mycosphaerella-oligotypes\correlation_matrix_environment.png"/>
                    <pic:cNvPicPr>
                      <a:picLocks noChangeAspect="1" noChangeArrowheads="1"/>
                    </pic:cNvPicPr>
                  </pic:nvPicPr>
                  <pic:blipFill>
                    <a:blip r:embed="rId9"/>
                    <a:stretch>
                      <a:fillRect/>
                    </a:stretch>
                  </pic:blipFill>
                  <pic:spPr bwMode="auto">
                    <a:xfrm>
                      <a:off x="0" y="0"/>
                      <a:ext cx="5760720" cy="4076700"/>
                    </a:xfrm>
                    <a:prstGeom prst="rect">
                      <a:avLst/>
                    </a:prstGeom>
                  </pic:spPr>
                </pic:pic>
              </a:graphicData>
            </a:graphic>
          </wp:inline>
        </w:drawing>
      </w:r>
    </w:p>
    <w:p w:rsidR="005E3391" w:rsidRDefault="00C66B9C" w:rsidP="005E3391">
      <w:pPr>
        <w:pStyle w:val="Beschriftung"/>
        <w:spacing w:before="0" w:after="0" w:line="480" w:lineRule="auto"/>
        <w:rPr>
          <w:sz w:val="22"/>
          <w:szCs w:val="22"/>
          <w:lang w:val="en-GB"/>
        </w:rPr>
        <w:sectPr w:rsidR="005E3391" w:rsidSect="00C13902">
          <w:pgSz w:w="11906" w:h="16838"/>
          <w:pgMar w:top="1417" w:right="1417" w:bottom="1134" w:left="1417" w:header="0" w:footer="0" w:gutter="0"/>
          <w:cols w:space="720"/>
          <w:formProt w:val="0"/>
          <w:docGrid w:linePitch="360" w:charSpace="-2049"/>
        </w:sectPr>
      </w:pPr>
      <w:r>
        <w:rPr>
          <w:b/>
          <w:sz w:val="22"/>
          <w:szCs w:val="22"/>
          <w:lang w:val="en-GB"/>
        </w:rPr>
        <w:t>Figure S1</w:t>
      </w:r>
      <w:r w:rsidR="005E3391">
        <w:rPr>
          <w:b/>
          <w:sz w:val="22"/>
          <w:szCs w:val="22"/>
          <w:lang w:val="en-GB"/>
        </w:rPr>
        <w:t>.</w:t>
      </w:r>
      <w:r w:rsidR="001E0A9D" w:rsidRPr="00C655F1">
        <w:rPr>
          <w:sz w:val="22"/>
          <w:szCs w:val="22"/>
          <w:lang w:val="en-GB"/>
        </w:rPr>
        <w:t xml:space="preserve"> </w:t>
      </w:r>
      <w:r w:rsidR="001E0A9D" w:rsidRPr="00C655F1">
        <w:rPr>
          <w:b/>
          <w:sz w:val="22"/>
          <w:szCs w:val="22"/>
          <w:lang w:val="en-GB"/>
        </w:rPr>
        <w:t xml:space="preserve">Correlation matrix of explanatory variables of 12 sampling locations. </w:t>
      </w:r>
      <w:r w:rsidR="001E0A9D" w:rsidRPr="00C655F1">
        <w:rPr>
          <w:sz w:val="22"/>
          <w:szCs w:val="22"/>
          <w:lang w:val="en-GB"/>
        </w:rPr>
        <w:t>This shows the correlation of different variables used as explanatory variables in the models</w:t>
      </w:r>
      <w:r w:rsidR="007578B2">
        <w:rPr>
          <w:sz w:val="22"/>
          <w:szCs w:val="22"/>
          <w:lang w:val="en-GB"/>
        </w:rPr>
        <w:t xml:space="preserve"> explaining </w:t>
      </w:r>
      <w:r w:rsidR="007578B2" w:rsidRPr="007578B2">
        <w:rPr>
          <w:i/>
          <w:sz w:val="22"/>
          <w:szCs w:val="22"/>
          <w:lang w:val="en-GB"/>
        </w:rPr>
        <w:t>S. populicola</w:t>
      </w:r>
      <w:r w:rsidR="007578B2">
        <w:rPr>
          <w:sz w:val="22"/>
          <w:szCs w:val="22"/>
          <w:lang w:val="en-GB"/>
        </w:rPr>
        <w:t xml:space="preserve"> oligotype diversity and distribution along a latitudinal gradient of the balsam poplar distribution in Canada and Alaska</w:t>
      </w:r>
      <w:r w:rsidR="001E0A9D" w:rsidRPr="00C655F1">
        <w:rPr>
          <w:sz w:val="22"/>
          <w:szCs w:val="22"/>
          <w:lang w:val="en-GB"/>
        </w:rPr>
        <w:t xml:space="preserve">. Given are latitude of the sampling location, raw read number, number of replicates per location, longitude of the sampling location, the mean temperature in July, the mean precipitation in July, the mean precipitation annually, the mean temperature in January, the mean annual temperature, altitude of the study location and the mean precipitation in January. Numbers show correlation coefficients. Circles depict the strength of correlation. The colours stand for the direction of the relationship, i.e. red shows a negative correlation and blue indicates a positive correlation. Circle size and colour intensity are proportional to the correlation coefficient. </w:t>
      </w:r>
    </w:p>
    <w:p w:rsidR="00F5693F" w:rsidRPr="00C66B9C" w:rsidRDefault="001E0A9D" w:rsidP="005E3391">
      <w:pPr>
        <w:pStyle w:val="Beschriftung"/>
        <w:spacing w:before="0" w:after="0" w:line="480" w:lineRule="auto"/>
        <w:rPr>
          <w:lang w:val="en-GB"/>
        </w:rPr>
      </w:pPr>
      <w:r>
        <w:rPr>
          <w:noProof/>
          <w:lang w:val="en-GB" w:eastAsia="en-GB" w:bidi="ar-SA"/>
        </w:rPr>
        <w:lastRenderedPageBreak/>
        <w:drawing>
          <wp:inline distT="0" distB="635" distL="0" distR="0">
            <wp:extent cx="5760720" cy="4076700"/>
            <wp:effectExtent l="0" t="0" r="0" b="0"/>
            <wp:docPr id="2" name="Grafik 2" descr="C:\Users\Fiona\Desktop\Master_thesis\Statistical_analysis\Mycosphaerella_oligotypes\Mycosphaerella-oligotypes\piechart_oligo_f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Users\Fiona\Desktop\Master_thesis\Statistical_analysis\Mycosphaerella_oligotypes\Mycosphaerella-oligotypes\piechart_oligo_freq.png"/>
                    <pic:cNvPicPr>
                      <a:picLocks noChangeAspect="1" noChangeArrowheads="1"/>
                    </pic:cNvPicPr>
                  </pic:nvPicPr>
                  <pic:blipFill>
                    <a:blip r:embed="rId10"/>
                    <a:stretch>
                      <a:fillRect/>
                    </a:stretch>
                  </pic:blipFill>
                  <pic:spPr bwMode="auto">
                    <a:xfrm>
                      <a:off x="0" y="0"/>
                      <a:ext cx="5760720" cy="4076700"/>
                    </a:xfrm>
                    <a:prstGeom prst="rect">
                      <a:avLst/>
                    </a:prstGeom>
                  </pic:spPr>
                </pic:pic>
              </a:graphicData>
            </a:graphic>
          </wp:inline>
        </w:drawing>
      </w:r>
    </w:p>
    <w:p w:rsidR="00F5693F" w:rsidRPr="00C655F1" w:rsidRDefault="005E3391" w:rsidP="00E62A8A">
      <w:pPr>
        <w:pStyle w:val="Beschriftung"/>
        <w:spacing w:line="480" w:lineRule="auto"/>
        <w:rPr>
          <w:i/>
          <w:sz w:val="22"/>
          <w:szCs w:val="22"/>
          <w:lang w:val="en-GB"/>
        </w:rPr>
      </w:pPr>
      <w:r>
        <w:rPr>
          <w:b/>
          <w:sz w:val="22"/>
          <w:szCs w:val="22"/>
          <w:lang w:val="en-GB"/>
        </w:rPr>
        <w:t>Figure S</w:t>
      </w:r>
      <w:r w:rsidR="00B16892">
        <w:rPr>
          <w:b/>
          <w:sz w:val="22"/>
          <w:szCs w:val="22"/>
          <w:lang w:val="en-GB"/>
        </w:rPr>
        <w:t>2</w:t>
      </w:r>
      <w:r>
        <w:rPr>
          <w:b/>
          <w:sz w:val="22"/>
          <w:szCs w:val="22"/>
          <w:lang w:val="en-GB"/>
        </w:rPr>
        <w:t>.</w:t>
      </w:r>
      <w:r w:rsidR="001E0A9D" w:rsidRPr="00C655F1">
        <w:rPr>
          <w:b/>
          <w:sz w:val="22"/>
          <w:szCs w:val="22"/>
          <w:lang w:val="en-GB"/>
        </w:rPr>
        <w:t xml:space="preserve"> </w:t>
      </w:r>
      <w:r w:rsidR="003317BC" w:rsidRPr="00C655F1">
        <w:rPr>
          <w:b/>
          <w:bCs/>
          <w:sz w:val="22"/>
          <w:szCs w:val="22"/>
          <w:lang w:val="en-GB"/>
        </w:rPr>
        <w:t xml:space="preserve">Total abundances of </w:t>
      </w:r>
      <w:r w:rsidR="003317BC" w:rsidRPr="00C655F1">
        <w:rPr>
          <w:b/>
          <w:bCs/>
          <w:i/>
          <w:iCs w:val="0"/>
          <w:sz w:val="22"/>
          <w:szCs w:val="22"/>
          <w:lang w:val="en-GB"/>
        </w:rPr>
        <w:t xml:space="preserve">S. populicola </w:t>
      </w:r>
      <w:r w:rsidR="003317BC" w:rsidRPr="00C655F1">
        <w:rPr>
          <w:b/>
          <w:bCs/>
          <w:sz w:val="22"/>
          <w:szCs w:val="22"/>
          <w:lang w:val="en-GB"/>
        </w:rPr>
        <w:t xml:space="preserve">oligotypes in </w:t>
      </w:r>
      <w:r w:rsidR="007578B2">
        <w:rPr>
          <w:b/>
          <w:bCs/>
          <w:sz w:val="22"/>
          <w:szCs w:val="22"/>
          <w:lang w:val="en-GB"/>
        </w:rPr>
        <w:t>balsam poplar</w:t>
      </w:r>
      <w:r w:rsidR="003317BC" w:rsidRPr="00C655F1">
        <w:rPr>
          <w:b/>
          <w:bCs/>
          <w:sz w:val="22"/>
          <w:szCs w:val="22"/>
          <w:lang w:val="en-GB"/>
        </w:rPr>
        <w:t xml:space="preserve">. </w:t>
      </w:r>
      <w:r w:rsidR="003317BC" w:rsidRPr="00C655F1">
        <w:rPr>
          <w:sz w:val="22"/>
          <w:szCs w:val="22"/>
          <w:lang w:val="en-GB"/>
        </w:rPr>
        <w:t xml:space="preserve">This pie chart displays the square root-transformed abundances of the 16 oligotypes found in this study within the OTU of </w:t>
      </w:r>
      <w:r w:rsidR="003317BC" w:rsidRPr="00C655F1">
        <w:rPr>
          <w:i/>
          <w:iCs w:val="0"/>
          <w:sz w:val="22"/>
          <w:szCs w:val="22"/>
          <w:lang w:val="en-GB"/>
        </w:rPr>
        <w:t>S. populicola</w:t>
      </w:r>
      <w:r w:rsidR="007578B2">
        <w:rPr>
          <w:i/>
          <w:iCs w:val="0"/>
          <w:sz w:val="22"/>
          <w:szCs w:val="22"/>
          <w:lang w:val="en-GB"/>
        </w:rPr>
        <w:t xml:space="preserve"> </w:t>
      </w:r>
      <w:r w:rsidR="007578B2">
        <w:rPr>
          <w:iCs w:val="0"/>
          <w:sz w:val="22"/>
          <w:szCs w:val="22"/>
          <w:lang w:val="en-GB"/>
        </w:rPr>
        <w:t>in the host tree balsam poplar along an altitudinal gradient of the tree’s range in Canada and Alaska</w:t>
      </w:r>
      <w:r w:rsidR="003317BC" w:rsidRPr="00C655F1">
        <w:rPr>
          <w:sz w:val="22"/>
          <w:szCs w:val="22"/>
          <w:lang w:val="en-GB"/>
        </w:rPr>
        <w:t>.</w:t>
      </w:r>
    </w:p>
    <w:p w:rsidR="00F5693F" w:rsidRDefault="001E0A9D">
      <w:pPr>
        <w:pStyle w:val="Textkrper"/>
        <w:keepNext/>
      </w:pPr>
      <w:r>
        <w:rPr>
          <w:noProof/>
          <w:lang w:eastAsia="en-GB" w:bidi="ar-SA"/>
        </w:rPr>
        <w:lastRenderedPageBreak/>
        <w:drawing>
          <wp:inline distT="0" distB="1270" distL="0" distR="0">
            <wp:extent cx="5760720" cy="4075430"/>
            <wp:effectExtent l="0" t="0" r="0" b="0"/>
            <wp:docPr id="3" name="Grafik 6" descr="C:\Users\Fiona\Desktop\Master_thesis\Statistical_analysis\Mycosphaerella_oligotypes\Mycosphaerella-oligotypes\NMDS_reg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descr="C:\Users\Fiona\Desktop\Master_thesis\Statistical_analysis\Mycosphaerella_oligotypes\Mycosphaerella-oligotypes\NMDS_regions.png"/>
                    <pic:cNvPicPr>
                      <a:picLocks noChangeAspect="1" noChangeArrowheads="1"/>
                    </pic:cNvPicPr>
                  </pic:nvPicPr>
                  <pic:blipFill>
                    <a:blip r:embed="rId11"/>
                    <a:stretch>
                      <a:fillRect/>
                    </a:stretch>
                  </pic:blipFill>
                  <pic:spPr bwMode="auto">
                    <a:xfrm>
                      <a:off x="0" y="0"/>
                      <a:ext cx="5760720" cy="4075430"/>
                    </a:xfrm>
                    <a:prstGeom prst="rect">
                      <a:avLst/>
                    </a:prstGeom>
                  </pic:spPr>
                </pic:pic>
              </a:graphicData>
            </a:graphic>
          </wp:inline>
        </w:drawing>
      </w:r>
    </w:p>
    <w:p w:rsidR="00F5693F" w:rsidRPr="00C655F1" w:rsidRDefault="005E3391" w:rsidP="00E62A8A">
      <w:pPr>
        <w:pStyle w:val="Beschriftung"/>
        <w:spacing w:line="480" w:lineRule="auto"/>
        <w:rPr>
          <w:sz w:val="22"/>
          <w:szCs w:val="22"/>
          <w:lang w:val="en-GB"/>
        </w:rPr>
      </w:pPr>
      <w:r>
        <w:rPr>
          <w:b/>
          <w:sz w:val="22"/>
          <w:szCs w:val="22"/>
          <w:lang w:val="en-GB"/>
        </w:rPr>
        <w:t>Figure S</w:t>
      </w:r>
      <w:r w:rsidR="00B16892">
        <w:rPr>
          <w:b/>
          <w:sz w:val="22"/>
          <w:szCs w:val="22"/>
          <w:lang w:val="en-GB"/>
        </w:rPr>
        <w:t>3</w:t>
      </w:r>
      <w:r>
        <w:rPr>
          <w:b/>
          <w:sz w:val="22"/>
          <w:szCs w:val="22"/>
          <w:lang w:val="en-GB"/>
        </w:rPr>
        <w:t>.</w:t>
      </w:r>
      <w:r w:rsidR="001E0A9D" w:rsidRPr="00C655F1">
        <w:rPr>
          <w:b/>
          <w:sz w:val="22"/>
          <w:szCs w:val="22"/>
          <w:lang w:val="en-GB"/>
        </w:rPr>
        <w:t xml:space="preserve"> NMDS plot displaying differences in samples from different geographic regions. </w:t>
      </w:r>
      <w:r w:rsidR="001E0A9D" w:rsidRPr="00C655F1">
        <w:rPr>
          <w:sz w:val="22"/>
          <w:szCs w:val="22"/>
          <w:lang w:val="en-GB"/>
        </w:rPr>
        <w:t>The dots represent samples</w:t>
      </w:r>
      <w:r w:rsidR="007578B2">
        <w:rPr>
          <w:sz w:val="22"/>
          <w:szCs w:val="22"/>
          <w:lang w:val="en-GB"/>
        </w:rPr>
        <w:t>, i.e. samples trees,</w:t>
      </w:r>
      <w:r w:rsidR="001E0A9D" w:rsidRPr="00C655F1">
        <w:rPr>
          <w:sz w:val="22"/>
          <w:szCs w:val="22"/>
          <w:lang w:val="en-GB"/>
        </w:rPr>
        <w:t xml:space="preserve"> that are placed in the two-dimensional space according to each other’s differences. Dots are jittered to tease apart directly overlaying sample dots. The colours of the dots represent the geographic region of the sampling location, i.e. Canada representing the Southern geographic deme and Alaska representing the Northern geographic deme of balsam poplar. </w:t>
      </w:r>
    </w:p>
    <w:p w:rsidR="00F5693F" w:rsidRDefault="001E0A9D">
      <w:pPr>
        <w:pStyle w:val="Beschriftung"/>
        <w:keepNext/>
        <w:rPr>
          <w:lang w:val="en-GB"/>
        </w:rPr>
      </w:pPr>
      <w:r>
        <w:rPr>
          <w:noProof/>
          <w:lang w:val="en-GB" w:eastAsia="en-GB" w:bidi="ar-SA"/>
        </w:rPr>
        <w:lastRenderedPageBreak/>
        <w:drawing>
          <wp:inline distT="0" distB="1270" distL="0" distR="0">
            <wp:extent cx="5760720" cy="4075430"/>
            <wp:effectExtent l="0" t="0" r="0" b="0"/>
            <wp:docPr id="4" name="Grafik 5" descr="C:\Users\Fiona\Desktop\Master_thesis\Statistical_analysis\Mycosphaerella_oligotypes\Mycosphaerella-oligotypes\NMDS_loc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5" descr="C:\Users\Fiona\Desktop\Master_thesis\Statistical_analysis\Mycosphaerella_oligotypes\Mycosphaerella-oligotypes\NMDS_locations.png"/>
                    <pic:cNvPicPr>
                      <a:picLocks noChangeAspect="1" noChangeArrowheads="1"/>
                    </pic:cNvPicPr>
                  </pic:nvPicPr>
                  <pic:blipFill>
                    <a:blip r:embed="rId12"/>
                    <a:stretch>
                      <a:fillRect/>
                    </a:stretch>
                  </pic:blipFill>
                  <pic:spPr bwMode="auto">
                    <a:xfrm>
                      <a:off x="0" y="0"/>
                      <a:ext cx="5760720" cy="4075430"/>
                    </a:xfrm>
                    <a:prstGeom prst="rect">
                      <a:avLst/>
                    </a:prstGeom>
                  </pic:spPr>
                </pic:pic>
              </a:graphicData>
            </a:graphic>
          </wp:inline>
        </w:drawing>
      </w:r>
    </w:p>
    <w:p w:rsidR="00E62A8A" w:rsidRPr="005E3391" w:rsidRDefault="005E3391" w:rsidP="00C66B9C">
      <w:pPr>
        <w:pStyle w:val="Beschriftung"/>
        <w:spacing w:line="480" w:lineRule="auto"/>
        <w:rPr>
          <w:lang w:val="en-GB"/>
        </w:rPr>
      </w:pPr>
      <w:r>
        <w:rPr>
          <w:b/>
          <w:sz w:val="22"/>
          <w:szCs w:val="22"/>
          <w:lang w:val="en-GB"/>
        </w:rPr>
        <w:t>Figure S</w:t>
      </w:r>
      <w:r w:rsidR="00B16892">
        <w:rPr>
          <w:b/>
          <w:sz w:val="22"/>
          <w:szCs w:val="22"/>
          <w:lang w:val="en-GB"/>
        </w:rPr>
        <w:t>4</w:t>
      </w:r>
      <w:r>
        <w:rPr>
          <w:b/>
          <w:sz w:val="22"/>
          <w:szCs w:val="22"/>
          <w:lang w:val="en-GB"/>
        </w:rPr>
        <w:t>.</w:t>
      </w:r>
      <w:r w:rsidR="001E0A9D" w:rsidRPr="00C655F1">
        <w:rPr>
          <w:sz w:val="22"/>
          <w:szCs w:val="22"/>
          <w:lang w:val="en-GB"/>
        </w:rPr>
        <w:t xml:space="preserve"> </w:t>
      </w:r>
      <w:r w:rsidR="001E0A9D" w:rsidRPr="00C655F1">
        <w:rPr>
          <w:b/>
          <w:sz w:val="22"/>
          <w:szCs w:val="22"/>
          <w:lang w:val="en-GB"/>
        </w:rPr>
        <w:t>NMDS plot displaying differences in samples from different locations.</w:t>
      </w:r>
      <w:r w:rsidR="001E0A9D" w:rsidRPr="00C655F1">
        <w:rPr>
          <w:sz w:val="22"/>
          <w:szCs w:val="22"/>
          <w:lang w:val="en-GB"/>
        </w:rPr>
        <w:t xml:space="preserve"> Each dot represents a sample,</w:t>
      </w:r>
      <w:r w:rsidR="007578B2">
        <w:rPr>
          <w:sz w:val="22"/>
          <w:szCs w:val="22"/>
          <w:lang w:val="en-GB"/>
        </w:rPr>
        <w:t xml:space="preserve"> i.e. a sampled balsam poplar tree,</w:t>
      </w:r>
      <w:r w:rsidR="001E0A9D" w:rsidRPr="00C655F1">
        <w:rPr>
          <w:sz w:val="22"/>
          <w:szCs w:val="22"/>
          <w:lang w:val="en-GB"/>
        </w:rPr>
        <w:t xml:space="preserve"> which is placed in the two-dimensional space according to the rank difference amongst all the samples. The dots are coloured according to the sampling location. Dots are jittered to tease apart </w:t>
      </w:r>
      <w:r w:rsidR="00C66B9C">
        <w:rPr>
          <w:sz w:val="22"/>
          <w:szCs w:val="22"/>
          <w:lang w:val="en-GB"/>
        </w:rPr>
        <w:t xml:space="preserve">directly overlaying sample dots. </w:t>
      </w:r>
    </w:p>
    <w:sectPr w:rsidR="00E62A8A" w:rsidRPr="005E3391" w:rsidSect="00C13902">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DEE" w:rsidRDefault="00FB7DEE" w:rsidP="00E62A8A">
      <w:pPr>
        <w:spacing w:after="0" w:line="240" w:lineRule="auto"/>
      </w:pPr>
      <w:r>
        <w:separator/>
      </w:r>
    </w:p>
  </w:endnote>
  <w:endnote w:type="continuationSeparator" w:id="0">
    <w:p w:rsidR="00FB7DEE" w:rsidRDefault="00FB7DEE" w:rsidP="00E6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508559"/>
      <w:docPartObj>
        <w:docPartGallery w:val="Page Numbers (Bottom of Page)"/>
        <w:docPartUnique/>
      </w:docPartObj>
    </w:sdtPr>
    <w:sdtEndPr/>
    <w:sdtContent>
      <w:p w:rsidR="00E62A8A" w:rsidRDefault="00E62A8A">
        <w:pPr>
          <w:pStyle w:val="Fuzeile"/>
          <w:jc w:val="center"/>
        </w:pPr>
        <w:r>
          <w:fldChar w:fldCharType="begin"/>
        </w:r>
        <w:r>
          <w:instrText>PAGE   \* MERGEFORMAT</w:instrText>
        </w:r>
        <w:r>
          <w:fldChar w:fldCharType="separate"/>
        </w:r>
        <w:r w:rsidR="000B1A18" w:rsidRPr="000B1A18">
          <w:rPr>
            <w:noProof/>
            <w:lang w:val="de-DE"/>
          </w:rPr>
          <w:t>1</w:t>
        </w:r>
        <w:r>
          <w:fldChar w:fldCharType="end"/>
        </w:r>
      </w:p>
    </w:sdtContent>
  </w:sdt>
  <w:p w:rsidR="00E62A8A" w:rsidRDefault="00E62A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DEE" w:rsidRDefault="00FB7DEE" w:rsidP="00E62A8A">
      <w:pPr>
        <w:spacing w:after="0" w:line="240" w:lineRule="auto"/>
      </w:pPr>
      <w:r>
        <w:separator/>
      </w:r>
    </w:p>
  </w:footnote>
  <w:footnote w:type="continuationSeparator" w:id="0">
    <w:p w:rsidR="00FB7DEE" w:rsidRDefault="00FB7DEE" w:rsidP="00E62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C3A1B"/>
    <w:multiLevelType w:val="hybridMultilevel"/>
    <w:tmpl w:val="1862E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0E10CE"/>
    <w:multiLevelType w:val="hybridMultilevel"/>
    <w:tmpl w:val="FF5C3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3F"/>
    <w:rsid w:val="000B1A18"/>
    <w:rsid w:val="000B35A4"/>
    <w:rsid w:val="001E0A9D"/>
    <w:rsid w:val="00202876"/>
    <w:rsid w:val="002C2DDB"/>
    <w:rsid w:val="003317BC"/>
    <w:rsid w:val="005E3391"/>
    <w:rsid w:val="006F4BA3"/>
    <w:rsid w:val="007578B2"/>
    <w:rsid w:val="00861C31"/>
    <w:rsid w:val="00AF538A"/>
    <w:rsid w:val="00B16892"/>
    <w:rsid w:val="00C13902"/>
    <w:rsid w:val="00C655F1"/>
    <w:rsid w:val="00C66B9C"/>
    <w:rsid w:val="00E2491B"/>
    <w:rsid w:val="00E62A8A"/>
    <w:rsid w:val="00F5693F"/>
    <w:rsid w:val="00FB7DE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890C5-3B6E-4F7C-8026-AAD2A2DB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qFormat/>
    <w:rsid w:val="00265496"/>
  </w:style>
  <w:style w:type="character" w:customStyle="1" w:styleId="TextkrperZchn">
    <w:name w:val="Textkörper Zchn"/>
    <w:basedOn w:val="Absatz-Standardschriftart"/>
    <w:link w:val="Textkrper"/>
    <w:qFormat/>
    <w:rsid w:val="00265496"/>
    <w:rPr>
      <w:rFonts w:ascii="Times New Roman" w:eastAsia="SimSun" w:hAnsi="Times New Roman" w:cs="Mangal"/>
      <w:szCs w:val="24"/>
      <w:lang w:eastAsia="zh-CN" w:bidi="hi-IN"/>
    </w:rPr>
  </w:style>
  <w:style w:type="character" w:styleId="Kommentarzeichen">
    <w:name w:val="annotation reference"/>
    <w:basedOn w:val="Absatz-Standardschriftart"/>
    <w:uiPriority w:val="99"/>
    <w:semiHidden/>
    <w:unhideWhenUsed/>
    <w:qFormat/>
    <w:rsid w:val="00DE0789"/>
    <w:rPr>
      <w:sz w:val="16"/>
      <w:szCs w:val="16"/>
    </w:rPr>
  </w:style>
  <w:style w:type="character" w:customStyle="1" w:styleId="KommentartextZchn">
    <w:name w:val="Kommentartext Zchn"/>
    <w:basedOn w:val="Absatz-Standardschriftart"/>
    <w:link w:val="Kommentartext"/>
    <w:uiPriority w:val="99"/>
    <w:semiHidden/>
    <w:qFormat/>
    <w:rsid w:val="00DE0789"/>
    <w:rPr>
      <w:sz w:val="20"/>
      <w:szCs w:val="20"/>
    </w:rPr>
  </w:style>
  <w:style w:type="character" w:customStyle="1" w:styleId="KommentarthemaZchn">
    <w:name w:val="Kommentarthema Zchn"/>
    <w:basedOn w:val="KommentartextZchn"/>
    <w:link w:val="Kommentarthema"/>
    <w:uiPriority w:val="99"/>
    <w:semiHidden/>
    <w:qFormat/>
    <w:rsid w:val="00DE0789"/>
    <w:rPr>
      <w:b/>
      <w:bCs/>
      <w:sz w:val="20"/>
      <w:szCs w:val="20"/>
    </w:rPr>
  </w:style>
  <w:style w:type="character" w:customStyle="1" w:styleId="SprechblasentextZchn">
    <w:name w:val="Sprechblasentext Zchn"/>
    <w:basedOn w:val="Absatz-Standardschriftart"/>
    <w:link w:val="Sprechblasentext"/>
    <w:uiPriority w:val="99"/>
    <w:semiHidden/>
    <w:qFormat/>
    <w:rsid w:val="00DE0789"/>
    <w:rPr>
      <w:rFonts w:ascii="Segoe UI" w:hAnsi="Segoe UI" w:cs="Segoe UI"/>
      <w:sz w:val="18"/>
      <w:szCs w:val="18"/>
    </w:rPr>
  </w:style>
  <w:style w:type="character" w:customStyle="1" w:styleId="DokumentstrukturZchn">
    <w:name w:val="Dokumentstruktur Zchn"/>
    <w:basedOn w:val="Absatz-Standardschriftart"/>
    <w:link w:val="Dokumentstruktur"/>
    <w:uiPriority w:val="99"/>
    <w:semiHidden/>
    <w:qFormat/>
    <w:rsid w:val="002D25D5"/>
    <w:rPr>
      <w:rFonts w:ascii="Times New Roman" w:hAnsi="Times New Roman" w:cs="Times New Roman"/>
      <w:sz w:val="24"/>
      <w:szCs w:val="24"/>
    </w:rPr>
  </w:style>
  <w:style w:type="character" w:customStyle="1" w:styleId="Internetlink">
    <w:name w:val="Internetlink"/>
    <w:basedOn w:val="Absatz-Standardschriftart"/>
    <w:uiPriority w:val="99"/>
    <w:unhideWhenUsed/>
    <w:rsid w:val="00E26BE0"/>
    <w:rPr>
      <w:color w:val="0563C1" w:themeColor="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link w:val="TextkrperZchn"/>
    <w:rsid w:val="00265496"/>
    <w:pPr>
      <w:spacing w:before="120" w:after="140" w:line="360" w:lineRule="auto"/>
      <w:jc w:val="both"/>
    </w:pPr>
    <w:rPr>
      <w:rFonts w:ascii="Times New Roman" w:eastAsia="SimSun" w:hAnsi="Times New Roman" w:cs="Mangal"/>
      <w:szCs w:val="24"/>
      <w:lang w:eastAsia="zh-CN" w:bidi="hi-IN"/>
    </w:rPr>
  </w:style>
  <w:style w:type="paragraph" w:styleId="Liste">
    <w:name w:val="List"/>
    <w:basedOn w:val="Textkrper"/>
  </w:style>
  <w:style w:type="paragraph" w:styleId="Beschriftung">
    <w:name w:val="caption"/>
    <w:basedOn w:val="Standard"/>
    <w:qFormat/>
    <w:rsid w:val="00265496"/>
    <w:pPr>
      <w:suppressLineNumbers/>
      <w:spacing w:before="120" w:after="120" w:line="240" w:lineRule="auto"/>
    </w:pPr>
    <w:rPr>
      <w:rFonts w:ascii="Times New Roman" w:eastAsia="SimSun" w:hAnsi="Times New Roman" w:cs="Mangal"/>
      <w:iCs/>
      <w:sz w:val="20"/>
      <w:szCs w:val="24"/>
      <w:lang w:val="de-DE" w:eastAsia="zh-CN" w:bidi="hi-IN"/>
    </w:rPr>
  </w:style>
  <w:style w:type="paragraph" w:customStyle="1" w:styleId="Verzeichnis">
    <w:name w:val="Verzeichnis"/>
    <w:basedOn w:val="Standard"/>
    <w:qFormat/>
    <w:pPr>
      <w:suppressLineNumbers/>
    </w:pPr>
    <w:rPr>
      <w:rFonts w:cs="Mangal"/>
    </w:rPr>
  </w:style>
  <w:style w:type="paragraph" w:styleId="Kommentartext">
    <w:name w:val="annotation text"/>
    <w:basedOn w:val="Standard"/>
    <w:link w:val="KommentartextZchn"/>
    <w:uiPriority w:val="99"/>
    <w:semiHidden/>
    <w:unhideWhenUsed/>
    <w:qFormat/>
    <w:rsid w:val="00DE0789"/>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DE0789"/>
    <w:rPr>
      <w:b/>
      <w:bCs/>
    </w:rPr>
  </w:style>
  <w:style w:type="paragraph" w:styleId="Sprechblasentext">
    <w:name w:val="Balloon Text"/>
    <w:basedOn w:val="Standard"/>
    <w:link w:val="SprechblasentextZchn"/>
    <w:uiPriority w:val="99"/>
    <w:semiHidden/>
    <w:unhideWhenUsed/>
    <w:qFormat/>
    <w:rsid w:val="00DE0789"/>
    <w:pPr>
      <w:spacing w:after="0" w:line="240" w:lineRule="auto"/>
    </w:pPr>
    <w:rPr>
      <w:rFonts w:ascii="Segoe UI" w:hAnsi="Segoe UI" w:cs="Segoe UI"/>
      <w:sz w:val="18"/>
      <w:szCs w:val="18"/>
    </w:rPr>
  </w:style>
  <w:style w:type="paragraph" w:styleId="Dokumentstruktur">
    <w:name w:val="Document Map"/>
    <w:basedOn w:val="Standard"/>
    <w:link w:val="DokumentstrukturZchn"/>
    <w:uiPriority w:val="99"/>
    <w:semiHidden/>
    <w:unhideWhenUsed/>
    <w:qFormat/>
    <w:rsid w:val="002D25D5"/>
    <w:pPr>
      <w:spacing w:after="0" w:line="240" w:lineRule="auto"/>
    </w:pPr>
    <w:rPr>
      <w:rFonts w:ascii="Times New Roman" w:hAnsi="Times New Roman" w:cs="Times New Roman"/>
      <w:sz w:val="24"/>
      <w:szCs w:val="24"/>
    </w:rPr>
  </w:style>
  <w:style w:type="paragraph" w:styleId="berarbeitung">
    <w:name w:val="Revision"/>
    <w:uiPriority w:val="99"/>
    <w:semiHidden/>
    <w:qFormat/>
    <w:rsid w:val="00C83BED"/>
  </w:style>
  <w:style w:type="table" w:customStyle="1" w:styleId="thesistable">
    <w:name w:val="thesistable"/>
    <w:basedOn w:val="Tabellenraster"/>
    <w:uiPriority w:val="99"/>
    <w:rsid w:val="00392F71"/>
    <w:pPr>
      <w:jc w:val="right"/>
    </w:pPr>
    <w:rPr>
      <w:sz w:val="20"/>
      <w:szCs w:val="24"/>
      <w:lang w:val="de-DE" w:eastAsia="zh-CN" w:bidi="hi-IN"/>
    </w:rPr>
    <w:tblPr>
      <w:tblStyleRowBandSize w:val="1"/>
      <w:tblStyleColBandSize w:val="1"/>
      <w:tblCellMar>
        <w:left w:w="0" w:type="dxa"/>
        <w:right w:w="0" w:type="dxa"/>
      </w:tblCellMar>
    </w:tblPr>
    <w:tcPr>
      <w:shd w:val="clear" w:color="auto" w:fill="auto"/>
      <w:vAlign w:val="center"/>
    </w:tcPr>
    <w:tblStylePr w:type="firstRow">
      <w:rPr>
        <w:rFonts w:eastAsiaTheme="majorEastAsia" w:cstheme="majorBidi"/>
        <w:b/>
        <w:i w:val="0"/>
        <w:sz w:val="22"/>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lastRow">
      <w:rPr>
        <w:rFonts w:eastAsiaTheme="majorEastAsia" w:cstheme="majorBidi"/>
        <w:i w:val="0"/>
        <w:sz w:val="22"/>
      </w:rPr>
      <w:tblPr/>
      <w:tcPr>
        <w:tcBorders>
          <w:top w:val="single" w:sz="4" w:space="0" w:color="000000" w:themeColor="text1"/>
        </w:tcBorders>
        <w:shd w:val="clear" w:color="auto" w:fill="FFFFFF" w:themeFill="background1"/>
      </w:tcPr>
    </w:tblStylePr>
    <w:tblStylePr w:type="firstCol">
      <w:pPr>
        <w:jc w:val="right"/>
      </w:pPr>
      <w:rPr>
        <w:rFonts w:eastAsiaTheme="majorEastAsia" w:cstheme="majorBidi"/>
        <w:b/>
        <w:i w:val="0"/>
        <w:sz w:val="22"/>
      </w:rPr>
    </w:tblStylePr>
    <w:tblStylePr w:type="lastCol">
      <w:rPr>
        <w:rFonts w:eastAsiaTheme="majorEastAsia" w:cstheme="majorBidi"/>
        <w:i w:val="0"/>
        <w:sz w:val="22"/>
      </w:rPr>
      <w:tblPr/>
      <w:tcPr>
        <w:tcBorders>
          <w:left w:val="single" w:sz="4" w:space="0" w:color="000000" w:themeColor="text1"/>
        </w:tcBorders>
        <w:shd w:val="clear" w:color="auto" w:fill="FFFFFF" w:themeFill="background1"/>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nraster">
    <w:name w:val="Table Grid"/>
    <w:basedOn w:val="NormaleTabelle"/>
    <w:uiPriority w:val="39"/>
    <w:rsid w:val="00265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sistable1">
    <w:name w:val="thesistable1"/>
    <w:basedOn w:val="Tabellenraster"/>
    <w:uiPriority w:val="99"/>
    <w:rsid w:val="00BC4AB6"/>
    <w:pPr>
      <w:jc w:val="right"/>
    </w:pPr>
    <w:rPr>
      <w:szCs w:val="24"/>
      <w:lang w:val="de-DE" w:eastAsia="zh-CN" w:bidi="hi-IN"/>
    </w:rPr>
    <w:tblPr>
      <w:tblStyleRowBandSize w:val="1"/>
      <w:tblStyleColBandSize w:val="1"/>
    </w:tblPr>
    <w:tcPr>
      <w:shd w:val="clear" w:color="auto" w:fill="auto"/>
      <w:vAlign w:val="center"/>
    </w:tcPr>
    <w:tblStylePr w:type="firstRow">
      <w:rPr>
        <w:rFonts w:eastAsiaTheme="majorEastAsia" w:cstheme="majorBidi"/>
        <w:b/>
        <w:i w:val="0"/>
        <w:sz w:val="22"/>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lastRow">
      <w:rPr>
        <w:rFonts w:eastAsiaTheme="majorEastAsia" w:cstheme="majorBidi"/>
        <w:i w:val="0"/>
        <w:sz w:val="22"/>
      </w:rPr>
      <w:tblPr/>
      <w:tcPr>
        <w:tcBorders>
          <w:top w:val="single" w:sz="4" w:space="0" w:color="000000" w:themeColor="text1"/>
        </w:tcBorders>
        <w:shd w:val="clear" w:color="auto" w:fill="FFFFFF" w:themeFill="background1"/>
      </w:tcPr>
    </w:tblStylePr>
    <w:tblStylePr w:type="firstCol">
      <w:pPr>
        <w:jc w:val="right"/>
      </w:pPr>
      <w:rPr>
        <w:rFonts w:eastAsiaTheme="majorEastAsia" w:cstheme="majorBidi"/>
        <w:b/>
        <w:i w:val="0"/>
        <w:sz w:val="22"/>
      </w:rPr>
    </w:tblStylePr>
    <w:tblStylePr w:type="lastCol">
      <w:rPr>
        <w:rFonts w:eastAsiaTheme="majorEastAsia" w:cstheme="majorBidi"/>
        <w:i w:val="0"/>
        <w:sz w:val="22"/>
      </w:rPr>
      <w:tblPr/>
      <w:tcPr>
        <w:tcBorders>
          <w:left w:val="single" w:sz="4" w:space="0" w:color="000000" w:themeColor="text1"/>
        </w:tcBorders>
        <w:shd w:val="clear" w:color="auto" w:fill="FFFFFF" w:themeFill="background1"/>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hesistable2">
    <w:name w:val="thesistable2"/>
    <w:basedOn w:val="Tabellenraster"/>
    <w:uiPriority w:val="99"/>
    <w:rsid w:val="00C14116"/>
    <w:pPr>
      <w:jc w:val="right"/>
    </w:pPr>
    <w:rPr>
      <w:szCs w:val="24"/>
      <w:lang w:val="de-DE" w:eastAsia="zh-CN" w:bidi="hi-IN"/>
    </w:rPr>
    <w:tblPr>
      <w:tblStyleRowBandSize w:val="1"/>
      <w:tblStyleCol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vAlign w:val="center"/>
    </w:tcPr>
    <w:tblStylePr w:type="firstRow">
      <w:rPr>
        <w:rFonts w:eastAsiaTheme="majorEastAsia" w:cstheme="majorBidi"/>
        <w:b/>
        <w:i w:val="0"/>
        <w:sz w:val="22"/>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lastRow">
      <w:rPr>
        <w:rFonts w:eastAsiaTheme="majorEastAsia" w:cstheme="majorBidi"/>
        <w:i w:val="0"/>
        <w:sz w:val="22"/>
      </w:rPr>
      <w:tblPr/>
      <w:tcPr>
        <w:tcBorders>
          <w:top w:val="single" w:sz="4" w:space="0" w:color="000000" w:themeColor="text1"/>
        </w:tcBorders>
        <w:shd w:val="clear" w:color="auto" w:fill="FFFFFF" w:themeFill="background1"/>
      </w:tcPr>
    </w:tblStylePr>
    <w:tblStylePr w:type="firstCol">
      <w:pPr>
        <w:jc w:val="right"/>
      </w:pPr>
      <w:rPr>
        <w:rFonts w:eastAsiaTheme="majorEastAsia" w:cstheme="majorBidi"/>
        <w:b/>
        <w:i w:val="0"/>
        <w:sz w:val="22"/>
      </w:rPr>
    </w:tblStylePr>
    <w:tblStylePr w:type="lastCol">
      <w:rPr>
        <w:rFonts w:eastAsiaTheme="majorEastAsia" w:cstheme="majorBidi"/>
        <w:i w:val="0"/>
        <w:sz w:val="22"/>
      </w:rPr>
      <w:tblPr/>
      <w:tcPr>
        <w:tcBorders>
          <w:left w:val="single" w:sz="4" w:space="0" w:color="000000" w:themeColor="text1"/>
        </w:tcBorders>
        <w:shd w:val="clear" w:color="auto" w:fill="FFFFFF" w:themeFill="background1"/>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opfzeile">
    <w:name w:val="header"/>
    <w:basedOn w:val="Standard"/>
    <w:link w:val="KopfzeileZchn"/>
    <w:uiPriority w:val="99"/>
    <w:unhideWhenUsed/>
    <w:rsid w:val="00E62A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2A8A"/>
  </w:style>
  <w:style w:type="paragraph" w:styleId="Fuzeile">
    <w:name w:val="footer"/>
    <w:basedOn w:val="Standard"/>
    <w:link w:val="FuzeileZchn"/>
    <w:uiPriority w:val="99"/>
    <w:unhideWhenUsed/>
    <w:rsid w:val="00E62A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2A8A"/>
  </w:style>
  <w:style w:type="paragraph" w:styleId="Listenabsatz">
    <w:name w:val="List Paragraph"/>
    <w:basedOn w:val="Standard"/>
    <w:uiPriority w:val="34"/>
    <w:qFormat/>
    <w:rsid w:val="00C13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1C45-6CB9-4EA1-A622-870CE7DA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727</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Paul</dc:creator>
  <dc:description/>
  <cp:lastModifiedBy>Fiona Paul</cp:lastModifiedBy>
  <cp:revision>2</cp:revision>
  <dcterms:created xsi:type="dcterms:W3CDTF">2017-08-14T08:41:00Z</dcterms:created>
  <dcterms:modified xsi:type="dcterms:W3CDTF">2017-08-14T08:41:00Z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Recent Style Id 0_1">
    <vt:lpwstr>http://www.zotero.org/styles/american-medical-association</vt:lpwstr>
  </property>
  <property fmtid="{D5CDD505-2E9C-101B-9397-08002B2CF9AE}" pid="7" name="Mendeley Recent Style Id 1_1">
    <vt:lpwstr>http://www.zotero.org/styles/apa</vt:lpwstr>
  </property>
  <property fmtid="{D5CDD505-2E9C-101B-9397-08002B2CF9AE}" pid="8" name="Mendeley Recent Style Id 2_1">
    <vt:lpwstr>http://www.zotero.org/styles/american-sociological-association</vt:lpwstr>
  </property>
  <property fmtid="{D5CDD505-2E9C-101B-9397-08002B2CF9AE}" pid="9" name="Mendeley Recent Style Id 3_1">
    <vt:lpwstr>http://www.zotero.org/styles/chicago-author-date</vt:lpwstr>
  </property>
  <property fmtid="{D5CDD505-2E9C-101B-9397-08002B2CF9AE}" pid="10" name="Mendeley Recent Style Id 4_1">
    <vt:lpwstr>http://www.zotero.org/styles/harvard1</vt:lpwstr>
  </property>
  <property fmtid="{D5CDD505-2E9C-101B-9397-08002B2CF9AE}" pid="11" name="Mendeley Recent Style Id 5_1">
    <vt:lpwstr>http://www.zotero.org/styles/ieee</vt:lpwstr>
  </property>
  <property fmtid="{D5CDD505-2E9C-101B-9397-08002B2CF9AE}" pid="12" name="Mendeley Recent Style Id 6_1">
    <vt:lpwstr>http://www.zotero.org/styles/modern-humanities-research-association</vt:lpwstr>
  </property>
  <property fmtid="{D5CDD505-2E9C-101B-9397-08002B2CF9AE}" pid="13" name="Mendeley Recent Style Id 7_1">
    <vt:lpwstr>http://www.zotero.org/styles/modern-language-association</vt:lpwstr>
  </property>
  <property fmtid="{D5CDD505-2E9C-101B-9397-08002B2CF9AE}" pid="14" name="Mendeley Recent Style Id 8_1">
    <vt:lpwstr>http://www.zotero.org/styles/nature</vt:lpwstr>
  </property>
  <property fmtid="{D5CDD505-2E9C-101B-9397-08002B2CF9AE}" pid="15" name="Mendeley Recent Style Id 9_1">
    <vt:lpwstr>http://www.zotero.org/styles/the-embo-journal</vt:lpwstr>
  </property>
  <property fmtid="{D5CDD505-2E9C-101B-9397-08002B2CF9AE}" pid="16" name="Mendeley Recent Style Name 0_1">
    <vt:lpwstr>American Medical Association</vt:lpwstr>
  </property>
  <property fmtid="{D5CDD505-2E9C-101B-9397-08002B2CF9AE}" pid="17" name="Mendeley Recent Style Name 1_1">
    <vt:lpwstr>American Psychological Association 6th edition</vt:lpwstr>
  </property>
  <property fmtid="{D5CDD505-2E9C-101B-9397-08002B2CF9AE}" pid="18" name="Mendeley Recent Style Name 2_1">
    <vt:lpwstr>American Sociological Association</vt:lpwstr>
  </property>
  <property fmtid="{D5CDD505-2E9C-101B-9397-08002B2CF9AE}" pid="19" name="Mendeley Recent Style Name 3_1">
    <vt:lpwstr>Chicago Manual of Style 16th edition (author-date)</vt:lpwstr>
  </property>
  <property fmtid="{D5CDD505-2E9C-101B-9397-08002B2CF9AE}" pid="20" name="Mendeley Recent Style Name 4_1">
    <vt:lpwstr>Harvard Reference format 1 (author-date)</vt:lpwstr>
  </property>
  <property fmtid="{D5CDD505-2E9C-101B-9397-08002B2CF9AE}" pid="21" name="Mendeley Recent Style Name 5_1">
    <vt:lpwstr>IEEE</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Name 7_1">
    <vt:lpwstr>Modern Language Association 7th edition</vt:lpwstr>
  </property>
  <property fmtid="{D5CDD505-2E9C-101B-9397-08002B2CF9AE}" pid="24" name="Mendeley Recent Style Name 8_1">
    <vt:lpwstr>Nature</vt:lpwstr>
  </property>
  <property fmtid="{D5CDD505-2E9C-101B-9397-08002B2CF9AE}" pid="25" name="Mendeley Recent Style Name 9_1">
    <vt:lpwstr>The EMBO Journal</vt:lpwstr>
  </property>
  <property fmtid="{D5CDD505-2E9C-101B-9397-08002B2CF9AE}" pid="26" name="ScaleCrop">
    <vt:bool>false</vt:bool>
  </property>
  <property fmtid="{D5CDD505-2E9C-101B-9397-08002B2CF9AE}" pid="27" name="ShareDoc">
    <vt:bool>false</vt:bool>
  </property>
</Properties>
</file>