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19" w:rsidRPr="00521406" w:rsidRDefault="00F12919" w:rsidP="00F12919">
      <w:pPr>
        <w:spacing w:after="0" w:line="240" w:lineRule="auto"/>
        <w:rPr>
          <w:rFonts w:ascii="Palatino Linotype" w:eastAsia="Times New Roman" w:hAnsi="Palatino Linotype"/>
          <w:b/>
          <w:snapToGrid w:val="0"/>
          <w:color w:val="000000"/>
          <w:sz w:val="20"/>
          <w:lang w:eastAsia="de-DE" w:bidi="en-US"/>
        </w:rPr>
      </w:pPr>
      <w:r w:rsidRPr="00521406">
        <w:rPr>
          <w:rFonts w:ascii="Palatino Linotype" w:eastAsia="Times New Roman" w:hAnsi="Palatino Linotype"/>
          <w:b/>
          <w:snapToGrid w:val="0"/>
          <w:color w:val="000000"/>
          <w:sz w:val="20"/>
          <w:lang w:eastAsia="de-DE" w:bidi="en-US"/>
        </w:rPr>
        <w:t>Supplementary Methods</w:t>
      </w:r>
    </w:p>
    <w:p w:rsidR="00F12919" w:rsidRPr="00521406" w:rsidRDefault="00F12919" w:rsidP="00F12919">
      <w:pPr>
        <w:spacing w:after="0" w:line="260" w:lineRule="atLeast"/>
        <w:rPr>
          <w:rFonts w:ascii="Palatino Linotype" w:eastAsia="Times New Roman" w:hAnsi="Palatino Linotype"/>
          <w:snapToGrid w:val="0"/>
          <w:color w:val="000000"/>
          <w:sz w:val="20"/>
          <w:lang w:eastAsia="de-DE" w:bidi="en-US"/>
        </w:rPr>
      </w:pPr>
      <w:r w:rsidRPr="00521406">
        <w:rPr>
          <w:rFonts w:ascii="Palatino Linotype" w:eastAsia="Times New Roman" w:hAnsi="Palatino Linotype"/>
          <w:b/>
          <w:snapToGrid w:val="0"/>
          <w:color w:val="000000"/>
          <w:sz w:val="20"/>
          <w:lang w:eastAsia="de-DE" w:bidi="en-US"/>
        </w:rPr>
        <w:t>Genome sequencing</w:t>
      </w:r>
      <w:r w:rsidRPr="00521406">
        <w:rPr>
          <w:rFonts w:ascii="Palatino Linotype" w:eastAsia="Times New Roman" w:hAnsi="Palatino Linotype"/>
          <w:snapToGrid w:val="0"/>
          <w:color w:val="000000"/>
          <w:sz w:val="20"/>
          <w:lang w:eastAsia="de-DE" w:bidi="en-US"/>
        </w:rPr>
        <w:t xml:space="preserve"> Genome sequencing was done on an </w:t>
      </w:r>
      <w:proofErr w:type="spellStart"/>
      <w:r w:rsidRPr="00521406">
        <w:rPr>
          <w:rFonts w:ascii="Palatino Linotype" w:eastAsia="Times New Roman" w:hAnsi="Palatino Linotype"/>
          <w:snapToGrid w:val="0"/>
          <w:color w:val="000000"/>
          <w:sz w:val="20"/>
          <w:lang w:eastAsia="de-DE" w:bidi="en-US"/>
        </w:rPr>
        <w:t>Illumina</w:t>
      </w:r>
      <w:proofErr w:type="spellEnd"/>
      <w:r w:rsidRPr="00521406">
        <w:rPr>
          <w:rFonts w:ascii="Palatino Linotype" w:eastAsia="Times New Roman" w:hAnsi="Palatino Linotype"/>
          <w:snapToGrid w:val="0"/>
          <w:color w:val="000000"/>
          <w:sz w:val="20"/>
          <w:lang w:eastAsia="de-DE" w:bidi="en-US"/>
        </w:rPr>
        <w:t xml:space="preserve"> GA </w:t>
      </w:r>
      <w:proofErr w:type="spellStart"/>
      <w:r w:rsidRPr="00521406">
        <w:rPr>
          <w:rFonts w:ascii="Palatino Linotype" w:eastAsia="Times New Roman" w:hAnsi="Palatino Linotype"/>
          <w:snapToGrid w:val="0"/>
          <w:color w:val="000000"/>
          <w:sz w:val="20"/>
          <w:lang w:eastAsia="de-DE" w:bidi="en-US"/>
        </w:rPr>
        <w:t>IIx</w:t>
      </w:r>
      <w:proofErr w:type="spellEnd"/>
      <w:r w:rsidRPr="00521406">
        <w:rPr>
          <w:rFonts w:ascii="Palatino Linotype" w:eastAsia="Times New Roman" w:hAnsi="Palatino Linotype"/>
          <w:snapToGrid w:val="0"/>
          <w:color w:val="000000"/>
          <w:sz w:val="20"/>
          <w:lang w:eastAsia="de-DE" w:bidi="en-US"/>
        </w:rPr>
        <w:t xml:space="preserve"> sequencer. Five micrograms of genomic DNA was sheared to ~400 bp using a </w:t>
      </w:r>
      <w:proofErr w:type="spellStart"/>
      <w:r w:rsidRPr="00521406">
        <w:rPr>
          <w:rFonts w:ascii="Palatino Linotype" w:eastAsia="Times New Roman" w:hAnsi="Palatino Linotype"/>
          <w:snapToGrid w:val="0"/>
          <w:color w:val="000000"/>
          <w:sz w:val="20"/>
          <w:lang w:eastAsia="de-DE" w:bidi="en-US"/>
        </w:rPr>
        <w:t>Covaris</w:t>
      </w:r>
      <w:proofErr w:type="spellEnd"/>
      <w:r w:rsidRPr="00521406">
        <w:rPr>
          <w:rFonts w:ascii="Palatino Linotype" w:eastAsia="Times New Roman" w:hAnsi="Palatino Linotype"/>
          <w:snapToGrid w:val="0"/>
          <w:color w:val="000000"/>
          <w:sz w:val="20"/>
          <w:lang w:eastAsia="de-DE" w:bidi="en-US"/>
        </w:rPr>
        <w:t xml:space="preserve"> E210 with settings: duty cycle 20%, intensity 4, cycles 200.  The DNA was size-selected for the range 300-600 bp on a 2% </w:t>
      </w:r>
      <w:proofErr w:type="spellStart"/>
      <w:r w:rsidRPr="00521406">
        <w:rPr>
          <w:rFonts w:ascii="Palatino Linotype" w:eastAsia="Times New Roman" w:hAnsi="Palatino Linotype"/>
          <w:snapToGrid w:val="0"/>
          <w:color w:val="000000"/>
          <w:sz w:val="20"/>
          <w:lang w:eastAsia="de-DE" w:bidi="en-US"/>
        </w:rPr>
        <w:t>agarose</w:t>
      </w:r>
      <w:proofErr w:type="spellEnd"/>
      <w:r w:rsidRPr="00521406">
        <w:rPr>
          <w:rFonts w:ascii="Palatino Linotype" w:eastAsia="Times New Roman" w:hAnsi="Palatino Linotype"/>
          <w:snapToGrid w:val="0"/>
          <w:color w:val="000000"/>
          <w:sz w:val="20"/>
          <w:lang w:eastAsia="de-DE" w:bidi="en-US"/>
        </w:rPr>
        <w:t xml:space="preserve"> gel and extracted using a Gel Extraction Kit (</w:t>
      </w:r>
      <w:proofErr w:type="spellStart"/>
      <w:r w:rsidRPr="00521406">
        <w:rPr>
          <w:rFonts w:ascii="Palatino Linotype" w:eastAsia="Times New Roman" w:hAnsi="Palatino Linotype"/>
          <w:snapToGrid w:val="0"/>
          <w:color w:val="000000"/>
          <w:sz w:val="20"/>
          <w:lang w:eastAsia="de-DE" w:bidi="en-US"/>
        </w:rPr>
        <w:t>Qiagen</w:t>
      </w:r>
      <w:proofErr w:type="spellEnd"/>
      <w:r w:rsidRPr="00521406">
        <w:rPr>
          <w:rFonts w:ascii="Palatino Linotype" w:eastAsia="Times New Roman" w:hAnsi="Palatino Linotype"/>
          <w:snapToGrid w:val="0"/>
          <w:color w:val="000000"/>
          <w:sz w:val="20"/>
          <w:lang w:eastAsia="de-DE" w:bidi="en-US"/>
        </w:rPr>
        <w:t xml:space="preserve">). The library was constructed using NEB Next DNA Library Prep Master Mix Set for </w:t>
      </w:r>
      <w:proofErr w:type="spellStart"/>
      <w:r w:rsidRPr="00521406">
        <w:rPr>
          <w:rFonts w:ascii="Palatino Linotype" w:eastAsia="Times New Roman" w:hAnsi="Palatino Linotype"/>
          <w:snapToGrid w:val="0"/>
          <w:color w:val="000000"/>
          <w:sz w:val="20"/>
          <w:lang w:eastAsia="de-DE" w:bidi="en-US"/>
        </w:rPr>
        <w:t>Illumina</w:t>
      </w:r>
      <w:proofErr w:type="spellEnd"/>
      <w:r w:rsidRPr="00521406">
        <w:rPr>
          <w:rFonts w:ascii="Palatino Linotype" w:eastAsia="Times New Roman" w:hAnsi="Palatino Linotype"/>
          <w:snapToGrid w:val="0"/>
          <w:color w:val="000000"/>
          <w:sz w:val="20"/>
          <w:lang w:eastAsia="de-DE" w:bidi="en-US"/>
        </w:rPr>
        <w:t xml:space="preserve"> (New England </w:t>
      </w:r>
      <w:proofErr w:type="spellStart"/>
      <w:r w:rsidRPr="00521406">
        <w:rPr>
          <w:rFonts w:ascii="Palatino Linotype" w:eastAsia="Times New Roman" w:hAnsi="Palatino Linotype"/>
          <w:snapToGrid w:val="0"/>
          <w:color w:val="000000"/>
          <w:sz w:val="20"/>
          <w:lang w:eastAsia="de-DE" w:bidi="en-US"/>
        </w:rPr>
        <w:t>Biolabs</w:t>
      </w:r>
      <w:proofErr w:type="spellEnd"/>
      <w:r w:rsidRPr="00521406">
        <w:rPr>
          <w:rFonts w:ascii="Palatino Linotype" w:eastAsia="Times New Roman" w:hAnsi="Palatino Linotype"/>
          <w:snapToGrid w:val="0"/>
          <w:color w:val="000000"/>
          <w:sz w:val="20"/>
          <w:lang w:eastAsia="de-DE" w:bidi="en-US"/>
        </w:rPr>
        <w:t xml:space="preserve">) and </w:t>
      </w:r>
      <w:proofErr w:type="spellStart"/>
      <w:r w:rsidRPr="00521406">
        <w:rPr>
          <w:rFonts w:ascii="Palatino Linotype" w:eastAsia="Times New Roman" w:hAnsi="Palatino Linotype"/>
          <w:snapToGrid w:val="0"/>
          <w:color w:val="000000"/>
          <w:sz w:val="20"/>
          <w:lang w:eastAsia="de-DE" w:bidi="en-US"/>
        </w:rPr>
        <w:t>Illumina’s</w:t>
      </w:r>
      <w:proofErr w:type="spellEnd"/>
      <w:r w:rsidRPr="00521406">
        <w:rPr>
          <w:rFonts w:ascii="Palatino Linotype" w:eastAsia="Times New Roman" w:hAnsi="Palatino Linotype"/>
          <w:snapToGrid w:val="0"/>
          <w:color w:val="000000"/>
          <w:sz w:val="20"/>
          <w:lang w:eastAsia="de-DE" w:bidi="en-US"/>
        </w:rPr>
        <w:t xml:space="preserve"> Paired-End DNA Sample Prep </w:t>
      </w:r>
      <w:proofErr w:type="spellStart"/>
      <w:r w:rsidRPr="00521406">
        <w:rPr>
          <w:rFonts w:ascii="Palatino Linotype" w:eastAsia="Times New Roman" w:hAnsi="Palatino Linotype"/>
          <w:snapToGrid w:val="0"/>
          <w:color w:val="000000"/>
          <w:sz w:val="20"/>
          <w:lang w:eastAsia="de-DE" w:bidi="en-US"/>
        </w:rPr>
        <w:t>Oligo</w:t>
      </w:r>
      <w:proofErr w:type="spellEnd"/>
      <w:r w:rsidRPr="00521406">
        <w:rPr>
          <w:rFonts w:ascii="Palatino Linotype" w:eastAsia="Times New Roman" w:hAnsi="Palatino Linotype"/>
          <w:snapToGrid w:val="0"/>
          <w:color w:val="000000"/>
          <w:sz w:val="20"/>
          <w:lang w:eastAsia="de-DE" w:bidi="en-US"/>
        </w:rPr>
        <w:t xml:space="preserve"> Only Kit.  The resulting library was selected on a 2% </w:t>
      </w:r>
      <w:proofErr w:type="spellStart"/>
      <w:r w:rsidRPr="00521406">
        <w:rPr>
          <w:rFonts w:ascii="Palatino Linotype" w:eastAsia="Times New Roman" w:hAnsi="Palatino Linotype"/>
          <w:snapToGrid w:val="0"/>
          <w:color w:val="000000"/>
          <w:sz w:val="20"/>
          <w:lang w:eastAsia="de-DE" w:bidi="en-US"/>
        </w:rPr>
        <w:t>agarose</w:t>
      </w:r>
      <w:proofErr w:type="spellEnd"/>
      <w:r w:rsidRPr="00521406">
        <w:rPr>
          <w:rFonts w:ascii="Palatino Linotype" w:eastAsia="Times New Roman" w:hAnsi="Palatino Linotype"/>
          <w:snapToGrid w:val="0"/>
          <w:color w:val="000000"/>
          <w:sz w:val="20"/>
          <w:lang w:eastAsia="de-DE" w:bidi="en-US"/>
        </w:rPr>
        <w:t xml:space="preserve"> gel for 440-560 bp and extracted using a Gel Extraction Kit (</w:t>
      </w:r>
      <w:proofErr w:type="spellStart"/>
      <w:r w:rsidRPr="00521406">
        <w:rPr>
          <w:rFonts w:ascii="Palatino Linotype" w:eastAsia="Times New Roman" w:hAnsi="Palatino Linotype"/>
          <w:snapToGrid w:val="0"/>
          <w:color w:val="000000"/>
          <w:sz w:val="20"/>
          <w:lang w:eastAsia="de-DE" w:bidi="en-US"/>
        </w:rPr>
        <w:t>Qiagen</w:t>
      </w:r>
      <w:proofErr w:type="spellEnd"/>
      <w:r w:rsidRPr="00521406">
        <w:rPr>
          <w:rFonts w:ascii="Palatino Linotype" w:eastAsia="Times New Roman" w:hAnsi="Palatino Linotype"/>
          <w:snapToGrid w:val="0"/>
          <w:color w:val="000000"/>
          <w:sz w:val="20"/>
          <w:lang w:eastAsia="de-DE" w:bidi="en-US"/>
        </w:rPr>
        <w:t xml:space="preserve">).  To insure that the library was not over-amplified a test amplification was performed in which aliquots of a PCR reaction were removed every 2 cycles from 4-16.  These aliquots were evaluated on a 2% </w:t>
      </w:r>
      <w:proofErr w:type="spellStart"/>
      <w:r w:rsidRPr="00521406">
        <w:rPr>
          <w:rFonts w:ascii="Palatino Linotype" w:eastAsia="Times New Roman" w:hAnsi="Palatino Linotype"/>
          <w:snapToGrid w:val="0"/>
          <w:color w:val="000000"/>
          <w:sz w:val="20"/>
          <w:lang w:eastAsia="de-DE" w:bidi="en-US"/>
        </w:rPr>
        <w:t>agarose</w:t>
      </w:r>
      <w:proofErr w:type="spellEnd"/>
      <w:r w:rsidRPr="00521406">
        <w:rPr>
          <w:rFonts w:ascii="Palatino Linotype" w:eastAsia="Times New Roman" w:hAnsi="Palatino Linotype"/>
          <w:snapToGrid w:val="0"/>
          <w:color w:val="000000"/>
          <w:sz w:val="20"/>
          <w:lang w:eastAsia="de-DE" w:bidi="en-US"/>
        </w:rPr>
        <w:t xml:space="preserve"> gel and an optimal cycle number was selected for subsequent large scale amplification in which unique barcodes were added to each library. Eight cycles were selected for these libraries.  The amplification reaction was cleaned using two rounds of </w:t>
      </w:r>
      <w:proofErr w:type="spellStart"/>
      <w:r w:rsidRPr="00521406">
        <w:rPr>
          <w:rFonts w:ascii="Palatino Linotype" w:eastAsia="Times New Roman" w:hAnsi="Palatino Linotype"/>
          <w:snapToGrid w:val="0"/>
          <w:color w:val="000000"/>
          <w:sz w:val="20"/>
          <w:lang w:eastAsia="de-DE" w:bidi="en-US"/>
        </w:rPr>
        <w:t>AMPure</w:t>
      </w:r>
      <w:proofErr w:type="spellEnd"/>
      <w:r w:rsidRPr="00521406">
        <w:rPr>
          <w:rFonts w:ascii="Palatino Linotype" w:eastAsia="Times New Roman" w:hAnsi="Palatino Linotype"/>
          <w:snapToGrid w:val="0"/>
          <w:color w:val="000000"/>
          <w:sz w:val="20"/>
          <w:lang w:eastAsia="de-DE" w:bidi="en-US"/>
        </w:rPr>
        <w:t xml:space="preserve"> XP Beads (</w:t>
      </w:r>
      <w:proofErr w:type="spellStart"/>
      <w:r w:rsidRPr="00521406">
        <w:rPr>
          <w:rFonts w:ascii="Palatino Linotype" w:eastAsia="Times New Roman" w:hAnsi="Palatino Linotype"/>
          <w:snapToGrid w:val="0"/>
          <w:color w:val="000000"/>
          <w:sz w:val="20"/>
          <w:lang w:eastAsia="de-DE" w:bidi="en-US"/>
        </w:rPr>
        <w:t>Agencourt</w:t>
      </w:r>
      <w:proofErr w:type="spellEnd"/>
      <w:r w:rsidRPr="00521406">
        <w:rPr>
          <w:rFonts w:ascii="Palatino Linotype" w:eastAsia="Times New Roman" w:hAnsi="Palatino Linotype"/>
          <w:snapToGrid w:val="0"/>
          <w:color w:val="000000"/>
          <w:sz w:val="20"/>
          <w:lang w:eastAsia="de-DE" w:bidi="en-US"/>
        </w:rPr>
        <w:t xml:space="preserve">).  Each library was run in one lane of a </w:t>
      </w:r>
      <w:proofErr w:type="spellStart"/>
      <w:r w:rsidRPr="00521406">
        <w:rPr>
          <w:rFonts w:ascii="Palatino Linotype" w:eastAsia="Times New Roman" w:hAnsi="Palatino Linotype"/>
          <w:snapToGrid w:val="0"/>
          <w:color w:val="000000"/>
          <w:sz w:val="20"/>
          <w:lang w:eastAsia="de-DE" w:bidi="en-US"/>
        </w:rPr>
        <w:t>GAIIx</w:t>
      </w:r>
      <w:proofErr w:type="spellEnd"/>
      <w:r w:rsidRPr="00521406">
        <w:rPr>
          <w:rFonts w:ascii="Palatino Linotype" w:eastAsia="Times New Roman" w:hAnsi="Palatino Linotype"/>
          <w:snapToGrid w:val="0"/>
          <w:color w:val="000000"/>
          <w:sz w:val="20"/>
          <w:lang w:eastAsia="de-DE" w:bidi="en-US"/>
        </w:rPr>
        <w:t xml:space="preserve"> to generate paired-end, 101 </w:t>
      </w:r>
      <w:proofErr w:type="gramStart"/>
      <w:r w:rsidRPr="00521406">
        <w:rPr>
          <w:rFonts w:ascii="Palatino Linotype" w:eastAsia="Times New Roman" w:hAnsi="Palatino Linotype"/>
          <w:snapToGrid w:val="0"/>
          <w:color w:val="000000"/>
          <w:sz w:val="20"/>
          <w:lang w:eastAsia="de-DE" w:bidi="en-US"/>
        </w:rPr>
        <w:t>base</w:t>
      </w:r>
      <w:proofErr w:type="gramEnd"/>
      <w:r w:rsidRPr="00521406">
        <w:rPr>
          <w:rFonts w:ascii="Palatino Linotype" w:eastAsia="Times New Roman" w:hAnsi="Palatino Linotype"/>
          <w:snapToGrid w:val="0"/>
          <w:color w:val="000000"/>
          <w:sz w:val="20"/>
          <w:lang w:eastAsia="de-DE" w:bidi="en-US"/>
        </w:rPr>
        <w:t xml:space="preserve"> reads.  Data was processed using RTA1.6.32.0 and GERALD 1.15.  For </w:t>
      </w:r>
      <w:r w:rsidRPr="00521406">
        <w:rPr>
          <w:rFonts w:ascii="Palatino Linotype" w:eastAsia="Times New Roman" w:hAnsi="Palatino Linotype"/>
          <w:i/>
          <w:snapToGrid w:val="0"/>
          <w:color w:val="000000"/>
          <w:sz w:val="20"/>
          <w:lang w:eastAsia="de-DE" w:bidi="en-US"/>
        </w:rPr>
        <w:t>Tel</w:t>
      </w:r>
      <w:r w:rsidRPr="00521406">
        <w:rPr>
          <w:rFonts w:ascii="Palatino Linotype" w:eastAsia="Times New Roman" w:hAnsi="Palatino Linotype"/>
          <w:snapToGrid w:val="0"/>
          <w:color w:val="000000"/>
          <w:sz w:val="20"/>
          <w:lang w:eastAsia="de-DE" w:bidi="en-US"/>
        </w:rPr>
        <w:t xml:space="preserve"> 66,654,840 reads were obtained and for </w:t>
      </w:r>
      <w:r w:rsidRPr="00521406">
        <w:rPr>
          <w:rFonts w:ascii="Palatino Linotype" w:eastAsia="Times New Roman" w:hAnsi="Palatino Linotype"/>
          <w:i/>
          <w:snapToGrid w:val="0"/>
          <w:color w:val="000000"/>
          <w:sz w:val="20"/>
          <w:lang w:eastAsia="de-DE" w:bidi="en-US"/>
        </w:rPr>
        <w:t>y w</w:t>
      </w:r>
      <w:r w:rsidRPr="00521406">
        <w:rPr>
          <w:rFonts w:ascii="Palatino Linotype" w:eastAsia="Times New Roman" w:hAnsi="Palatino Linotype"/>
          <w:snapToGrid w:val="0"/>
          <w:color w:val="000000"/>
          <w:sz w:val="20"/>
          <w:lang w:eastAsia="de-DE" w:bidi="en-US"/>
        </w:rPr>
        <w:t xml:space="preserve"> 76,757,736 reads, representing genome coverage of 48X and 55X, respectively.</w:t>
      </w:r>
    </w:p>
    <w:p w:rsidR="00F12919" w:rsidRPr="003C40FF" w:rsidRDefault="00F12919" w:rsidP="00F12919">
      <w:pPr>
        <w:spacing w:after="0" w:line="480" w:lineRule="auto"/>
        <w:rPr>
          <w:sz w:val="18"/>
          <w:szCs w:val="18"/>
        </w:rPr>
      </w:pPr>
    </w:p>
    <w:p w:rsidR="00F12919" w:rsidRPr="00521406" w:rsidRDefault="00F12919" w:rsidP="00F12919">
      <w:pPr>
        <w:spacing w:after="0" w:line="240" w:lineRule="auto"/>
        <w:rPr>
          <w:rFonts w:ascii="Palatino Linotype" w:eastAsia="Times New Roman" w:hAnsi="Palatino Linotype"/>
          <w:b/>
          <w:snapToGrid w:val="0"/>
          <w:color w:val="000000"/>
          <w:sz w:val="20"/>
          <w:lang w:eastAsia="de-DE" w:bidi="en-US"/>
        </w:rPr>
      </w:pPr>
      <w:r w:rsidRPr="00521406">
        <w:rPr>
          <w:rFonts w:ascii="Palatino Linotype" w:eastAsia="Times New Roman" w:hAnsi="Palatino Linotype"/>
          <w:b/>
          <w:snapToGrid w:val="0"/>
          <w:color w:val="000000"/>
          <w:sz w:val="20"/>
          <w:lang w:eastAsia="de-DE" w:bidi="en-US"/>
        </w:rPr>
        <w:t>Supplementary Results</w:t>
      </w:r>
    </w:p>
    <w:p w:rsidR="00F12919" w:rsidRPr="00521406" w:rsidRDefault="00F12919" w:rsidP="00F12919">
      <w:pPr>
        <w:spacing w:after="0" w:line="260" w:lineRule="atLeast"/>
        <w:rPr>
          <w:rFonts w:ascii="Palatino Linotype" w:eastAsia="Times New Roman" w:hAnsi="Palatino Linotype"/>
          <w:snapToGrid w:val="0"/>
          <w:color w:val="000000"/>
          <w:sz w:val="20"/>
          <w:lang w:eastAsia="de-DE" w:bidi="en-US"/>
        </w:rPr>
      </w:pPr>
      <w:r w:rsidRPr="00521406">
        <w:rPr>
          <w:rFonts w:ascii="Palatino Linotype" w:eastAsia="Times New Roman" w:hAnsi="Palatino Linotype"/>
          <w:b/>
          <w:snapToGrid w:val="0"/>
          <w:color w:val="000000"/>
          <w:sz w:val="20"/>
          <w:lang w:eastAsia="de-DE" w:bidi="en-US"/>
        </w:rPr>
        <w:t xml:space="preserve">Analysis of large </w:t>
      </w:r>
      <w:proofErr w:type="spellStart"/>
      <w:r w:rsidRPr="00521406">
        <w:rPr>
          <w:rFonts w:ascii="Palatino Linotype" w:eastAsia="Times New Roman" w:hAnsi="Palatino Linotype"/>
          <w:b/>
          <w:snapToGrid w:val="0"/>
          <w:color w:val="000000"/>
          <w:sz w:val="20"/>
          <w:lang w:eastAsia="de-DE" w:bidi="en-US"/>
        </w:rPr>
        <w:t>indels</w:t>
      </w:r>
      <w:proofErr w:type="spellEnd"/>
      <w:r w:rsidRPr="00521406">
        <w:rPr>
          <w:rFonts w:ascii="Palatino Linotype" w:eastAsia="Times New Roman" w:hAnsi="Palatino Linotype"/>
          <w:snapToGrid w:val="0"/>
          <w:color w:val="000000"/>
          <w:sz w:val="20"/>
          <w:lang w:eastAsia="de-DE" w:bidi="en-US"/>
        </w:rPr>
        <w:t xml:space="preserve"> Large </w:t>
      </w:r>
      <w:proofErr w:type="spellStart"/>
      <w:r w:rsidRPr="00521406">
        <w:rPr>
          <w:rFonts w:ascii="Palatino Linotype" w:eastAsia="Times New Roman" w:hAnsi="Palatino Linotype"/>
          <w:snapToGrid w:val="0"/>
          <w:color w:val="000000"/>
          <w:sz w:val="20"/>
          <w:lang w:eastAsia="de-DE" w:bidi="en-US"/>
        </w:rPr>
        <w:t>indels</w:t>
      </w:r>
      <w:proofErr w:type="spellEnd"/>
      <w:r w:rsidRPr="00521406">
        <w:rPr>
          <w:rFonts w:ascii="Palatino Linotype" w:eastAsia="Times New Roman" w:hAnsi="Palatino Linotype"/>
          <w:snapToGrid w:val="0"/>
          <w:color w:val="000000"/>
          <w:sz w:val="20"/>
          <w:lang w:eastAsia="de-DE" w:bidi="en-US"/>
        </w:rPr>
        <w:t xml:space="preserve"> (&gt;5 bp) identified by manually scanning the </w:t>
      </w:r>
      <w:r w:rsidRPr="00521406">
        <w:rPr>
          <w:rFonts w:ascii="Palatino Linotype" w:eastAsia="Times New Roman" w:hAnsi="Palatino Linotype"/>
          <w:i/>
          <w:snapToGrid w:val="0"/>
          <w:color w:val="000000"/>
          <w:sz w:val="20"/>
          <w:lang w:eastAsia="de-DE" w:bidi="en-US"/>
        </w:rPr>
        <w:t>Tel</w:t>
      </w:r>
      <w:r w:rsidRPr="00521406">
        <w:rPr>
          <w:rFonts w:ascii="Palatino Linotype" w:eastAsia="Times New Roman" w:hAnsi="Palatino Linotype"/>
          <w:i/>
          <w:snapToGrid w:val="0"/>
          <w:color w:val="000000"/>
          <w:sz w:val="20"/>
          <w:vertAlign w:val="superscript"/>
          <w:lang w:eastAsia="de-DE" w:bidi="en-US"/>
        </w:rPr>
        <w:t>1</w:t>
      </w:r>
      <w:r w:rsidRPr="00521406">
        <w:rPr>
          <w:rFonts w:ascii="Palatino Linotype" w:eastAsia="Times New Roman" w:hAnsi="Palatino Linotype"/>
          <w:snapToGrid w:val="0"/>
          <w:color w:val="000000"/>
          <w:sz w:val="20"/>
          <w:lang w:eastAsia="de-DE" w:bidi="en-US"/>
        </w:rPr>
        <w:t xml:space="preserve"> genome assembly in the 79 kb region (3R:15,151,000-15,230,000). To confirm the identity of these </w:t>
      </w:r>
      <w:proofErr w:type="spellStart"/>
      <w:r w:rsidRPr="00521406">
        <w:rPr>
          <w:rFonts w:ascii="Palatino Linotype" w:eastAsia="Times New Roman" w:hAnsi="Palatino Linotype"/>
          <w:snapToGrid w:val="0"/>
          <w:color w:val="000000"/>
          <w:sz w:val="20"/>
          <w:lang w:eastAsia="de-DE" w:bidi="en-US"/>
        </w:rPr>
        <w:t>indels</w:t>
      </w:r>
      <w:proofErr w:type="spellEnd"/>
      <w:r w:rsidRPr="00521406">
        <w:rPr>
          <w:rFonts w:ascii="Palatino Linotype" w:eastAsia="Times New Roman" w:hAnsi="Palatino Linotype"/>
          <w:snapToGrid w:val="0"/>
          <w:color w:val="000000"/>
          <w:sz w:val="20"/>
          <w:lang w:eastAsia="de-DE" w:bidi="en-US"/>
        </w:rPr>
        <w:t xml:space="preserve">, we designed primers flanking these </w:t>
      </w:r>
      <w:proofErr w:type="spellStart"/>
      <w:r w:rsidRPr="00521406">
        <w:rPr>
          <w:rFonts w:ascii="Palatino Linotype" w:eastAsia="Times New Roman" w:hAnsi="Palatino Linotype"/>
          <w:snapToGrid w:val="0"/>
          <w:color w:val="000000"/>
          <w:sz w:val="20"/>
          <w:lang w:eastAsia="de-DE" w:bidi="en-US"/>
        </w:rPr>
        <w:t>indels</w:t>
      </w:r>
      <w:proofErr w:type="spellEnd"/>
      <w:r w:rsidRPr="00521406">
        <w:rPr>
          <w:rFonts w:ascii="Palatino Linotype" w:eastAsia="Times New Roman" w:hAnsi="Palatino Linotype"/>
          <w:snapToGrid w:val="0"/>
          <w:color w:val="000000"/>
          <w:sz w:val="20"/>
          <w:lang w:eastAsia="de-DE" w:bidi="en-US"/>
        </w:rPr>
        <w:t xml:space="preserve">, which were then PCR amplified and sequenced by Sanger sequencing. Figure S4 shows the 145 bp (3R: 15,157,140 – 284) and 85 bp (3R: 15,170,445-524) </w:t>
      </w:r>
      <w:proofErr w:type="spellStart"/>
      <w:r w:rsidRPr="00521406">
        <w:rPr>
          <w:rFonts w:ascii="Palatino Linotype" w:eastAsia="Times New Roman" w:hAnsi="Palatino Linotype"/>
          <w:snapToGrid w:val="0"/>
          <w:color w:val="000000"/>
          <w:sz w:val="20"/>
          <w:lang w:eastAsia="de-DE" w:bidi="en-US"/>
        </w:rPr>
        <w:t>indels</w:t>
      </w:r>
      <w:proofErr w:type="spellEnd"/>
      <w:r w:rsidRPr="00521406">
        <w:rPr>
          <w:rFonts w:ascii="Palatino Linotype" w:eastAsia="Times New Roman" w:hAnsi="Palatino Linotype"/>
          <w:snapToGrid w:val="0"/>
          <w:color w:val="000000"/>
          <w:sz w:val="20"/>
          <w:lang w:eastAsia="de-DE" w:bidi="en-US"/>
        </w:rPr>
        <w:t xml:space="preserve"> initially identified in </w:t>
      </w:r>
      <w:r w:rsidRPr="00521406">
        <w:rPr>
          <w:rFonts w:ascii="Palatino Linotype" w:eastAsia="Times New Roman" w:hAnsi="Palatino Linotype"/>
          <w:i/>
          <w:snapToGrid w:val="0"/>
          <w:color w:val="000000"/>
          <w:sz w:val="20"/>
          <w:lang w:eastAsia="de-DE" w:bidi="en-US"/>
        </w:rPr>
        <w:t>Tel</w:t>
      </w:r>
      <w:r w:rsidRPr="00521406">
        <w:rPr>
          <w:rFonts w:ascii="Palatino Linotype" w:eastAsia="Times New Roman" w:hAnsi="Palatino Linotype"/>
          <w:i/>
          <w:snapToGrid w:val="0"/>
          <w:color w:val="000000"/>
          <w:sz w:val="20"/>
          <w:vertAlign w:val="superscript"/>
          <w:lang w:eastAsia="de-DE" w:bidi="en-US"/>
        </w:rPr>
        <w:t>1</w:t>
      </w:r>
      <w:r w:rsidRPr="00521406">
        <w:rPr>
          <w:rFonts w:ascii="Palatino Linotype" w:eastAsia="Times New Roman" w:hAnsi="Palatino Linotype"/>
          <w:snapToGrid w:val="0"/>
          <w:color w:val="000000"/>
          <w:sz w:val="20"/>
          <w:lang w:eastAsia="de-DE" w:bidi="en-US"/>
        </w:rPr>
        <w:t xml:space="preserve"> but not </w:t>
      </w:r>
      <w:bookmarkStart w:id="0" w:name="_GoBack"/>
      <w:r w:rsidRPr="00521406">
        <w:rPr>
          <w:rFonts w:ascii="Palatino Linotype" w:eastAsia="Times New Roman" w:hAnsi="Palatino Linotype"/>
          <w:i/>
          <w:snapToGrid w:val="0"/>
          <w:color w:val="000000"/>
          <w:sz w:val="20"/>
          <w:lang w:eastAsia="de-DE" w:bidi="en-US"/>
        </w:rPr>
        <w:t>y w</w:t>
      </w:r>
      <w:bookmarkEnd w:id="0"/>
      <w:r w:rsidRPr="00521406">
        <w:rPr>
          <w:rFonts w:ascii="Palatino Linotype" w:eastAsia="Times New Roman" w:hAnsi="Palatino Linotype"/>
          <w:snapToGrid w:val="0"/>
          <w:color w:val="000000"/>
          <w:sz w:val="20"/>
          <w:lang w:eastAsia="de-DE" w:bidi="en-US"/>
        </w:rPr>
        <w:t xml:space="preserve">. Sequencing of these PCR fragments showed that; the 145 bp ‘deficiency’ is actually many small deletions (6 bp, 5 bp, 23 bp and 2 bp) present very close to each other; the 85 bp deficiency is actually a 82 bp deletion in Tel; the 20 bp insertion (3R: 15,163,360) is actually three closely linked insertions (1 bp, 11 bp and 7 bp). All these </w:t>
      </w:r>
      <w:proofErr w:type="spellStart"/>
      <w:r w:rsidRPr="00521406">
        <w:rPr>
          <w:rFonts w:ascii="Palatino Linotype" w:eastAsia="Times New Roman" w:hAnsi="Palatino Linotype"/>
          <w:snapToGrid w:val="0"/>
          <w:color w:val="000000"/>
          <w:sz w:val="20"/>
          <w:lang w:eastAsia="de-DE" w:bidi="en-US"/>
        </w:rPr>
        <w:t>indels</w:t>
      </w:r>
      <w:proofErr w:type="spellEnd"/>
      <w:r w:rsidRPr="00521406">
        <w:rPr>
          <w:rFonts w:ascii="Palatino Linotype" w:eastAsia="Times New Roman" w:hAnsi="Palatino Linotype"/>
          <w:snapToGrid w:val="0"/>
          <w:color w:val="000000"/>
          <w:sz w:val="20"/>
          <w:lang w:eastAsia="de-DE" w:bidi="en-US"/>
        </w:rPr>
        <w:t xml:space="preserve"> were also found in one or more of DGRP lines, so they are all natural polymorphisms.</w:t>
      </w:r>
    </w:p>
    <w:p w:rsidR="00F12919" w:rsidRPr="00521406" w:rsidRDefault="00F12919" w:rsidP="00F12919">
      <w:pPr>
        <w:spacing w:after="0" w:line="260" w:lineRule="atLeast"/>
        <w:ind w:firstLine="360"/>
        <w:rPr>
          <w:rFonts w:ascii="Palatino Linotype" w:eastAsia="Times New Roman" w:hAnsi="Palatino Linotype"/>
          <w:snapToGrid w:val="0"/>
          <w:color w:val="000000"/>
          <w:sz w:val="20"/>
          <w:lang w:eastAsia="de-DE" w:bidi="en-US"/>
        </w:rPr>
      </w:pPr>
      <w:r w:rsidRPr="00521406">
        <w:rPr>
          <w:rFonts w:ascii="Palatino Linotype" w:eastAsia="Times New Roman" w:hAnsi="Palatino Linotype"/>
          <w:snapToGrid w:val="0"/>
          <w:color w:val="000000"/>
          <w:sz w:val="20"/>
          <w:lang w:eastAsia="de-DE" w:bidi="en-US"/>
        </w:rPr>
        <w:t xml:space="preserve">The CLC generated assembly suggested a 38 bp deletion at 3R:15,196,876 in both </w:t>
      </w:r>
      <w:r w:rsidRPr="00521406">
        <w:rPr>
          <w:rFonts w:ascii="Palatino Linotype" w:eastAsia="Times New Roman" w:hAnsi="Palatino Linotype"/>
          <w:i/>
          <w:snapToGrid w:val="0"/>
          <w:color w:val="000000"/>
          <w:sz w:val="20"/>
          <w:lang w:eastAsia="de-DE" w:bidi="en-US"/>
        </w:rPr>
        <w:t>Tel</w:t>
      </w:r>
      <w:r w:rsidRPr="00521406">
        <w:rPr>
          <w:rFonts w:ascii="Palatino Linotype" w:eastAsia="Times New Roman" w:hAnsi="Palatino Linotype"/>
          <w:snapToGrid w:val="0"/>
          <w:color w:val="000000"/>
          <w:sz w:val="20"/>
          <w:lang w:eastAsia="de-DE" w:bidi="en-US"/>
        </w:rPr>
        <w:t xml:space="preserve"> and </w:t>
      </w:r>
      <w:r w:rsidRPr="00521406">
        <w:rPr>
          <w:rFonts w:ascii="Palatino Linotype" w:eastAsia="Times New Roman" w:hAnsi="Palatino Linotype"/>
          <w:i/>
          <w:snapToGrid w:val="0"/>
          <w:color w:val="000000"/>
          <w:sz w:val="20"/>
          <w:lang w:eastAsia="de-DE" w:bidi="en-US"/>
        </w:rPr>
        <w:t>y w</w:t>
      </w:r>
      <w:r w:rsidRPr="00521406">
        <w:rPr>
          <w:rFonts w:ascii="Palatino Linotype" w:eastAsia="Times New Roman" w:hAnsi="Palatino Linotype"/>
          <w:snapToGrid w:val="0"/>
          <w:color w:val="000000"/>
          <w:sz w:val="20"/>
          <w:lang w:eastAsia="de-DE" w:bidi="en-US"/>
        </w:rPr>
        <w:t xml:space="preserve">. This region is part of exon11 of </w:t>
      </w:r>
      <w:r w:rsidRPr="00521406">
        <w:rPr>
          <w:rFonts w:ascii="Palatino Linotype" w:eastAsia="Times New Roman" w:hAnsi="Palatino Linotype"/>
          <w:i/>
          <w:snapToGrid w:val="0"/>
          <w:color w:val="000000"/>
          <w:sz w:val="20"/>
          <w:lang w:eastAsia="de-DE" w:bidi="en-US"/>
        </w:rPr>
        <w:t>Ino80</w:t>
      </w:r>
      <w:r w:rsidRPr="00521406">
        <w:rPr>
          <w:rFonts w:ascii="Palatino Linotype" w:eastAsia="Times New Roman" w:hAnsi="Palatino Linotype"/>
          <w:snapToGrid w:val="0"/>
          <w:color w:val="000000"/>
          <w:sz w:val="20"/>
          <w:lang w:eastAsia="de-DE" w:bidi="en-US"/>
        </w:rPr>
        <w:t xml:space="preserve"> coding region and thus of potential functional importance. To confirm the presence/absence of this deletion we PCR amplified this region and re-sequenced by Sanger sequencing. This showed complete identity to the reference sequence in both the Tel1 and y w genomes at this region, suggesting the apparent deletion was an assembly artifact, possibly due to the high GC content in this region. </w:t>
      </w:r>
    </w:p>
    <w:p w:rsidR="00F12919" w:rsidRPr="00521406" w:rsidRDefault="00F12919" w:rsidP="00F12919">
      <w:pPr>
        <w:rPr>
          <w:rFonts w:ascii="Palatino Linotype" w:eastAsia="Times New Roman" w:hAnsi="Palatino Linotype"/>
          <w:snapToGrid w:val="0"/>
          <w:color w:val="000000"/>
          <w:sz w:val="20"/>
          <w:lang w:eastAsia="de-DE" w:bidi="en-US"/>
        </w:rPr>
      </w:pPr>
    </w:p>
    <w:p w:rsidR="00E070A2" w:rsidRDefault="00E070A2"/>
    <w:sectPr w:rsidR="00E070A2" w:rsidSect="00D913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12919"/>
    <w:rsid w:val="00811B79"/>
    <w:rsid w:val="00B10FEA"/>
    <w:rsid w:val="00B45B53"/>
    <w:rsid w:val="00BF44C6"/>
    <w:rsid w:val="00CE381A"/>
    <w:rsid w:val="00D07654"/>
    <w:rsid w:val="00E070A2"/>
    <w:rsid w:val="00F12919"/>
    <w:rsid w:val="00FB1D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919"/>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2402</Characters>
  <Application>Microsoft Office Word</Application>
  <DocSecurity>0</DocSecurity>
  <Lines>20</Lines>
  <Paragraphs>5</Paragraphs>
  <ScaleCrop>false</ScaleCrop>
  <Company>BCAV ČR</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Frydrychová</dc:creator>
  <cp:lastModifiedBy>Radmila Frydrychová</cp:lastModifiedBy>
  <cp:revision>1</cp:revision>
  <dcterms:created xsi:type="dcterms:W3CDTF">2018-02-27T12:53:00Z</dcterms:created>
  <dcterms:modified xsi:type="dcterms:W3CDTF">2018-02-27T12:53:00Z</dcterms:modified>
</cp:coreProperties>
</file>