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Differences in Expression Density and Molecular Weight of CR1-Like in Erythrocytes of Landrace Swine</w:t>
      </w:r>
    </w:p>
    <w:p>
      <w:pPr>
        <w:spacing w:line="420" w:lineRule="exact"/>
        <w:jc w:val="left"/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lang w:val="en-GB"/>
        </w:rPr>
      </w:pP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</w:rPr>
        <w:t>Jingjing Zhang</w:t>
      </w:r>
      <w:bookmarkStart w:id="0" w:name="OLE_LINK10"/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vertAlign w:val="superscript"/>
          <w:lang w:val="en-US" w:eastAsia="zh-CN"/>
        </w:rPr>
        <w:t>1</w:t>
      </w:r>
      <w:bookmarkEnd w:id="0"/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</w:rPr>
        <w:t xml:space="preserve">, 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lang w:val="en-GB"/>
        </w:rPr>
        <w:t>Wei Yin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</w:rPr>
        <w:t xml:space="preserve">, 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lang w:val="en-GB"/>
        </w:rPr>
        <w:t>Chun Wang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lang w:val="en-GB"/>
        </w:rPr>
        <w:t>,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</w:rPr>
        <w:t xml:space="preserve"> Ruipu Jia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</w:rPr>
        <w:t>,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lang w:val="en-GB"/>
        </w:rPr>
        <w:t xml:space="preserve"> Kuohai Fan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lang w:val="en-GB"/>
        </w:rPr>
        <w:t>, Na Sun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lang w:val="en-GB"/>
        </w:rPr>
        <w:t>, Yaogui Sun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</w:rPr>
        <w:t xml:space="preserve">, </w:t>
      </w:r>
      <w:bookmarkStart w:id="1" w:name="OLE_LINK1"/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lang w:val="en-GB"/>
        </w:rPr>
        <w:t>Hongquan Li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vertAlign w:val="superscript"/>
          <w:lang w:val="en-GB" w:eastAsia="zh-CN"/>
        </w:rPr>
        <w:t>*</w:t>
      </w:r>
      <w:bookmarkEnd w:id="1"/>
    </w:p>
    <w:p>
      <w:pPr>
        <w:spacing w:beforeLines="0" w:afterLines="0"/>
        <w:jc w:val="left"/>
        <w:rPr>
          <w:rFonts w:hint="eastAsia" w:ascii="Times New Roman" w:hAnsi="Times New Roman" w:eastAsia="Times New Roman"/>
          <w:i w:val="0"/>
          <w:iCs/>
          <w:color w:val="000000"/>
          <w:sz w:val="24"/>
          <w:szCs w:val="24"/>
          <w:vertAlign w:val="superscript"/>
          <w:lang w:val="en-US" w:eastAsia="zh-CN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i w:val="0"/>
          <w:iCs/>
          <w:color w:val="000000"/>
          <w:sz w:val="24"/>
          <w:szCs w:val="24"/>
        </w:rPr>
      </w:pPr>
      <w:r>
        <w:rPr>
          <w:rFonts w:hint="eastAsia" w:ascii="Times New Roman" w:hAnsi="Times New Roman" w:eastAsia="Times New Roman"/>
          <w:i w:val="0"/>
          <w:iCs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hint="default" w:ascii="Times New Roman" w:hAnsi="Times New Roman" w:eastAsia="Times New Roman"/>
          <w:i w:val="0"/>
          <w:iCs/>
          <w:color w:val="000000"/>
          <w:sz w:val="24"/>
          <w:szCs w:val="24"/>
          <w:lang w:val="en-GB"/>
        </w:rPr>
        <w:t>College of Animal Science and Veterinary Medicine, Shanxi Agriculture University, Taigu,</w:t>
      </w:r>
      <w:r>
        <w:rPr>
          <w:rFonts w:hint="eastAsia" w:ascii="Times New Roman" w:hAnsi="Times New Roman"/>
          <w:i w:val="0"/>
          <w:iCs/>
          <w:color w:val="000000"/>
          <w:sz w:val="24"/>
          <w:szCs w:val="24"/>
          <w:lang w:val="en-US" w:eastAsia="zh-CN"/>
        </w:rPr>
        <w:t xml:space="preserve"> Jinzhong,</w:t>
      </w:r>
      <w:r>
        <w:rPr>
          <w:rFonts w:hint="default" w:ascii="Times New Roman" w:hAnsi="Times New Roman" w:eastAsia="Times New Roman"/>
          <w:i w:val="0"/>
          <w:iCs/>
          <w:color w:val="000000"/>
          <w:sz w:val="24"/>
          <w:szCs w:val="24"/>
          <w:lang w:val="en-GB"/>
        </w:rPr>
        <w:t xml:space="preserve"> Shanxi</w:t>
      </w:r>
      <w:r>
        <w:rPr>
          <w:rFonts w:hint="eastAsia" w:ascii="Times New Roman" w:hAnsi="Times New Roman" w:eastAsia="宋体"/>
          <w:i w:val="0"/>
          <w:iCs/>
          <w:color w:val="000000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eastAsia="Times New Roman"/>
          <w:i w:val="0"/>
          <w:iCs/>
          <w:color w:val="000000"/>
          <w:sz w:val="24"/>
          <w:szCs w:val="24"/>
          <w:lang w:val="en-GB"/>
        </w:rPr>
        <w:t>China</w:t>
      </w:r>
    </w:p>
    <w:p>
      <w:pPr>
        <w:spacing w:line="420" w:lineRule="exact"/>
        <w:jc w:val="left"/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</w:pPr>
    </w:p>
    <w:p>
      <w:pPr>
        <w:spacing w:line="420" w:lineRule="exact"/>
        <w:jc w:val="left"/>
        <w:rPr>
          <w:rFonts w:hint="eastAsia" w:ascii="Times New Roman" w:hAnsi="Times New Roman" w:eastAsia="Times New Roman"/>
          <w:color w:val="000000"/>
          <w:sz w:val="24"/>
          <w:szCs w:val="24"/>
        </w:rPr>
      </w:pP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C</w:t>
      </w:r>
      <w:r>
        <w:rPr>
          <w:rFonts w:hint="eastAsia" w:ascii="Times New Roman" w:hAnsi="Times New Roman" w:eastAsia="Times New Roman"/>
          <w:color w:val="000000"/>
          <w:sz w:val="24"/>
          <w:szCs w:val="24"/>
        </w:rPr>
        <w:t>orrespond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ing Author</w:t>
      </w:r>
      <w:r>
        <w:rPr>
          <w:rFonts w:hint="eastAsia" w:ascii="Times New Roman" w:hAnsi="Times New Roman" w:eastAsia="Times New Roman"/>
          <w:color w:val="000000"/>
          <w:sz w:val="24"/>
          <w:szCs w:val="24"/>
        </w:rPr>
        <w:t>:</w:t>
      </w:r>
    </w:p>
    <w:p>
      <w:pPr>
        <w:spacing w:line="420" w:lineRule="exact"/>
        <w:jc w:val="left"/>
        <w:rPr>
          <w:rFonts w:hint="eastAsia" w:ascii="Times New Roman" w:hAnsi="Times New Roman" w:eastAsia="Times New Roman"/>
          <w:color w:val="000000"/>
          <w:sz w:val="24"/>
          <w:szCs w:val="24"/>
        </w:rPr>
      </w:pP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lang w:val="en-GB"/>
        </w:rPr>
        <w:t>Hongquan Li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Times New Roman"/>
          <w:b w:val="0"/>
          <w:bCs/>
          <w:color w:val="000000"/>
          <w:sz w:val="24"/>
          <w:szCs w:val="24"/>
          <w:vertAlign w:val="superscript"/>
          <w:lang w:val="en-GB" w:eastAsia="zh-CN"/>
        </w:rPr>
        <w:t>*</w:t>
      </w:r>
    </w:p>
    <w:p>
      <w:pPr>
        <w:spacing w:line="420" w:lineRule="exact"/>
        <w:jc w:val="left"/>
        <w:rPr>
          <w:rFonts w:hint="eastAsia" w:ascii="Times New Roman" w:hAnsi="Times New Roman" w:eastAsia="宋体" w:cs="Times New Roman"/>
          <w:sz w:val="24"/>
          <w:szCs w:val="24"/>
          <w:lang w:val="en-GB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Email address: </w:t>
      </w:r>
      <w:r>
        <w:rPr>
          <w:rFonts w:hint="eastAsia" w:ascii="Times New Roman" w:hAnsi="Times New Roman" w:eastAsia="Times New Roman"/>
          <w:sz w:val="28"/>
          <w:szCs w:val="28"/>
          <w:lang w:val="en-US" w:eastAsia="zh-CN"/>
        </w:rPr>
        <w:fldChar w:fldCharType="begin"/>
      </w:r>
      <w:r>
        <w:rPr>
          <w:rFonts w:hint="eastAsia" w:ascii="Times New Roman" w:hAnsi="Times New Roman" w:eastAsia="Times New Roman"/>
          <w:sz w:val="28"/>
          <w:szCs w:val="28"/>
          <w:lang w:val="en-US" w:eastAsia="zh-CN"/>
        </w:rPr>
        <w:instrText xml:space="preserve"> HYPERLINK "mailto:lhqxzxx@sxau.edu.cn" </w:instrText>
      </w:r>
      <w:r>
        <w:rPr>
          <w:rFonts w:hint="eastAsia" w:ascii="Times New Roman" w:hAnsi="Times New Roman" w:eastAsia="Times New Roman"/>
          <w:sz w:val="28"/>
          <w:szCs w:val="28"/>
          <w:lang w:val="en-US" w:eastAsia="zh-CN"/>
        </w:rPr>
        <w:fldChar w:fldCharType="separate"/>
      </w:r>
      <w:r>
        <w:rPr>
          <w:rFonts w:hint="eastAsia" w:ascii="Times New Roman" w:hAnsi="Times New Roman" w:eastAsia="Times New Roman"/>
          <w:sz w:val="28"/>
          <w:szCs w:val="28"/>
          <w:lang w:val="en-US" w:eastAsia="zh-CN"/>
        </w:rPr>
        <w:t>lhqxzxx@sxau.edu.cn</w:t>
      </w:r>
      <w:r>
        <w:rPr>
          <w:rFonts w:hint="eastAsia" w:ascii="Times New Roman" w:hAnsi="Times New Roman" w:eastAsia="Times New Roman"/>
          <w:sz w:val="28"/>
          <w:szCs w:val="28"/>
          <w:lang w:val="en-US" w:eastAsia="zh-CN"/>
        </w:rPr>
        <w:fldChar w:fldCharType="end"/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4" w:name="_GoBack"/>
      <w:bookmarkEnd w:id="4"/>
    </w:p>
    <w:p/>
    <w:p>
      <w:pPr>
        <w:ind w:firstLine="480"/>
        <w:jc w:val="both"/>
        <w:rPr>
          <w:rFonts w:hint="eastAsia" w:ascii="Times New Roman" w:hAnsi="Times New Roman" w:eastAsia="黑体" w:cs="Times New Roman"/>
          <w:color w:val="000000"/>
          <w:sz w:val="24"/>
          <w:szCs w:val="24"/>
          <w:lang w:val="en-US" w:eastAsia="zh-CN"/>
        </w:rPr>
      </w:pPr>
      <w:bookmarkStart w:id="2" w:name="OLE_LINK3"/>
      <w:r>
        <w:rPr>
          <w:rFonts w:hint="eastAsia" w:ascii="Times New Roman" w:hAnsi="Times New Roman" w:eastAsia="黑体" w:cs="Times New Roman"/>
          <w:color w:val="000000"/>
          <w:sz w:val="24"/>
          <w:szCs w:val="24"/>
          <w:lang w:val="en-US" w:eastAsia="zh-CN"/>
        </w:rPr>
        <w:t>Table 1 and Table 2 are the raw data for the expression level and molecular weights of CR1-like on porcine erythrocytes.</w:t>
      </w:r>
    </w:p>
    <w:bookmarkEnd w:id="2"/>
    <w:p>
      <w:pPr>
        <w:ind w:firstLine="480"/>
        <w:jc w:val="center"/>
        <w:rPr>
          <w:rFonts w:ascii="Times New Roman" w:hAnsi="Times New Roman" w:eastAsia="黑体" w:cs="Times New Roman"/>
          <w:color w:val="000000"/>
          <w:sz w:val="24"/>
          <w:szCs w:val="24"/>
        </w:rPr>
      </w:pPr>
    </w:p>
    <w:p>
      <w:pPr>
        <w:ind w:firstLine="48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eastAsia="黑体" w:cs="Times New Roman"/>
          <w:color w:val="000000"/>
          <w:sz w:val="24"/>
          <w:szCs w:val="24"/>
        </w:rPr>
        <w:t>Table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 xml:space="preserve">1 The MFI of stained porcine erythrocytes, 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  <w:lang w:val="en-US" w:eastAsia="zh-CN"/>
        </w:rPr>
        <w:t>blank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 xml:space="preserve"> control porcine erythrocytes and isotype control porcine erythrocytes</w:t>
      </w:r>
    </w:p>
    <w:tbl>
      <w:tblPr>
        <w:tblStyle w:val="4"/>
        <w:tblpPr w:leftFromText="180" w:rightFromText="180" w:vertAnchor="text" w:horzAnchor="page" w:tblpXSpec="center" w:tblpY="319"/>
        <w:tblOverlap w:val="never"/>
        <w:tblW w:w="102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819"/>
        <w:gridCol w:w="611"/>
        <w:gridCol w:w="589"/>
        <w:gridCol w:w="634"/>
        <w:gridCol w:w="1062"/>
        <w:gridCol w:w="451"/>
        <w:gridCol w:w="553"/>
        <w:gridCol w:w="711"/>
        <w:gridCol w:w="1133"/>
        <w:gridCol w:w="462"/>
        <w:gridCol w:w="567"/>
        <w:gridCol w:w="713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15"/>
                <w:szCs w:val="15"/>
                <w:lang w:eastAsia="zh-CN"/>
              </w:rPr>
              <w:t>equence numbers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Individual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Number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MFI of the experimental group (Each group repeated 3 times)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The average of</w:t>
            </w: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 xml:space="preserve">three groups of </w:t>
            </w: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MFI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MFI of the blank control group (Each group repeated 3 times)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The average of</w:t>
            </w: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 xml:space="preserve">three groups of </w:t>
            </w: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MFI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MFI of the isotype control group (Each group repeated 3 times)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The average of</w:t>
            </w: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 xml:space="preserve">three groups of </w:t>
            </w: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MFI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bookmarkStart w:id="3" w:name="OLE_LINK31" w:colFirst="5" w:colLast="5"/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204.08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166.18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67.94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146.07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25.33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23.21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24.67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24.40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25.63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26.01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25.42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25.69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172.17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148.99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83.76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134.97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25.31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25.12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24.52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24.39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25.21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25.20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155.73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123.1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125.34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134.72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25.62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23.02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24.12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24.25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26.31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25.34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24.66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185.55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114.59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102.42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134.19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24.31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29.34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21.06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24.90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26.37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25.09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24.36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25.27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160.57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125.21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109.23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131.67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25.12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22.65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23.64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26.31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26.14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24.95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136.38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127.53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115.04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126.32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20.34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20.06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20.86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24.97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25.08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25.36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140.06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125.54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100.38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121.99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19.05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19.87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19.69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24.31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24.36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23.68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24.12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122.84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149.74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87.43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120.00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19.32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20.04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19.78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19.71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23.19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89.12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89.23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89.022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89.12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23.12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21.03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19.98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21.38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23.34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22.16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20.16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78.32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77.65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75.23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77.07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20.15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19.34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19.88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22.05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23.04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38.62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125.26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51.92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71.93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18.79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22.01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20.31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19.98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22.06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88.51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34.52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91.28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71.44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19.99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20.08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21.07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20.16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29.35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93.89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46.45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52.28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64.21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23.07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26.31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25.31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24.90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65.73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66.32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60.12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64.06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20.31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19.97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20.03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20.10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26.31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23.42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24.29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63.94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56.69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67.3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62.64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23.04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21.04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21.42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60.13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61.25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63.14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61.51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22.05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23.01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21.73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20.39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60.31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59.84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63.79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61.31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22.31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21.07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21.85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26.31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24.20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54.04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73.71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53.33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60.36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20.14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20.14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22.09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58.94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56.04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61.92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58.97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22.31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19.65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20.70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23.61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24.51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101.07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37.5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37.09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58.55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23.01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22.06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22.40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23.62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23.41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60.2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58.79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54.19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57.73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19.87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18.76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19.61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26.14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75.55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53.32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43.5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57.46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23.15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22.09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24.16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23.13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24.35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23.16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50.29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60.91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60.54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57.25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21.14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21.15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24.16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23.52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54.28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54.35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61.45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56.69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22.05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23.04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21.76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26.34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24.18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24.57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42.55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62.08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59.4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54.68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20.34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22.01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21.83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52.78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55.64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54.32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54.25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17.98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16.89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19.94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18.27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23.76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22.64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23.51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55.45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78.45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26.63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53.51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18.19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19.85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19.21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19.08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24.19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23.62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54.89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53.05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51.73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53.22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19.23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19.96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19.77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21.36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49.87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50.21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53.14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51.07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20.34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19.96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20.15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26.17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57.82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37.62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56.81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50.75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20.34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19.87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19.65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19.95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50.12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49.97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52.13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50.74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19.98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20.01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21.04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21.35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21.09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20.93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50.31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49.79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51.24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50.45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19.96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20.01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20.04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20.00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23.16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43.65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56.21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51.32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50.39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19.97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18.96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19.97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19.63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22.51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31.64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32.45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55.23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39.77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20.01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20.04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19.86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19.97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23.67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25.13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20.07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26.64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35.78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52.42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38.28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20.34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19.97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20.06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20.12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23.07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28.51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42.69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36.18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35.79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19.86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19.92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20.03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22.38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20.17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26.48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28.51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49.48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34.82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17.34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18.62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19.86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18.61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21.07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41.81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34.13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28.5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34.81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20.01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19.65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17.35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19.00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22.51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23.64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21.37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34.28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32.9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36.55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34.58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18.62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17.32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17.88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17.94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22.17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23.15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31.67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34.15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37.2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34.34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16.39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17.68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17.77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21.09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22.17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23.17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31.21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37.09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33.6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33.97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18.65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19.34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19.34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19.11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20.17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30.25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37.86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33.68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33.93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19.32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18.24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18.69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18.75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23.64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23.15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37.99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41.02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22.09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33.70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18.24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19.25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19.34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18.94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21.45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20.17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22.16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31.65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30.67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38.35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33.56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18.23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18.65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18.64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18.51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23.07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20.17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33.15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32.58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34.37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33.37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18.69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17.28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19.98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18.65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23.64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36.88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28.55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31.91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32.45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19.36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18.97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18.57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18.97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20.18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24.09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36.02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25.61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35.09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32.24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19.21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19.32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19.34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19.29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20.34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33.78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31.46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29.43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31.56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17.01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17.25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19.34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17.87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22.19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28.06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35.06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30.58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31.23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19.25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18.34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19.34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18.98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26.38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23.97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35.06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26.32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31.83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31.07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19.35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17.68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17.23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18.09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23.17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24.28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39.33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29.46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31.02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16.34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16.59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16.98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16.64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21.39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22.37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21.97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33.16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26.09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30.52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29.92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16.02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16.31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15.99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16.11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23.34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22.16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22.89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32.38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30.9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28.93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15.21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16.09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15.34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15.55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20.16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22.15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20.81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27.98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28.684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28.86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28.51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14.99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15.97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19.01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C0C0C"/>
                <w:kern w:val="0"/>
                <w:sz w:val="15"/>
                <w:szCs w:val="15"/>
              </w:rPr>
              <w:t xml:space="preserve">16.66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22.31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21.04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23.16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C0C0C"/>
                <w:kern w:val="0"/>
                <w:sz w:val="15"/>
                <w:szCs w:val="15"/>
              </w:rPr>
              <w:t>22.17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28.91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28.61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27.99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28.50 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17.38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19.62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C0C0C"/>
                <w:kern w:val="0"/>
                <w:sz w:val="15"/>
                <w:szCs w:val="15"/>
              </w:rPr>
              <w:t xml:space="preserve">18.75 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19.21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22.01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23.01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C0C0C"/>
                <w:kern w:val="0"/>
                <w:sz w:val="15"/>
                <w:szCs w:val="15"/>
              </w:rPr>
              <w:t>21.41</w:t>
            </w:r>
          </w:p>
        </w:tc>
      </w:tr>
      <w:bookmarkEnd w:id="3"/>
    </w:tbl>
    <w:p/>
    <w:p/>
    <w:p/>
    <w:p/>
    <w:p>
      <w:pPr>
        <w:ind w:firstLine="960" w:firstLineChars="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color w:val="000000"/>
          <w:sz w:val="24"/>
          <w:szCs w:val="24"/>
        </w:rPr>
        <w:t>Table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  <w:lang w:val="en-US" w:eastAsia="zh-CN"/>
        </w:rPr>
        <w:t xml:space="preserve"> 2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 xml:space="preserve"> The results of CR1-like protein by SDS-PAGE under reduced conditions</w:t>
      </w:r>
    </w:p>
    <w:tbl>
      <w:tblPr>
        <w:tblStyle w:val="4"/>
        <w:tblW w:w="7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95"/>
        <w:gridCol w:w="1075"/>
        <w:gridCol w:w="1057"/>
        <w:gridCol w:w="1332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15"/>
                <w:szCs w:val="15"/>
                <w:lang w:eastAsia="zh-CN"/>
              </w:rPr>
              <w:t>equence numbers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Individual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lang w:val="en-US" w:eastAsia="zh-CN"/>
              </w:rPr>
              <w:t>Number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a(KDa)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b(KDa)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 (KDa)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5"/>
                <w:szCs w:val="15"/>
              </w:rPr>
              <w:t>The total band size（</w:t>
            </w:r>
            <w:r>
              <w:rPr>
                <w:rStyle w:val="5"/>
                <w:b/>
                <w:bCs/>
                <w:sz w:val="15"/>
                <w:szCs w:val="15"/>
              </w:rPr>
              <w:t>KDa</w:t>
            </w:r>
            <w:r>
              <w:rPr>
                <w:rStyle w:val="6"/>
                <w:rFonts w:hint="eastAsia" w:ascii="Times New Roman" w:hAnsi="Times New Roman"/>
                <w:b/>
                <w:bCs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71.75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49.02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19.45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73.76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46.82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18.69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71.43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48.34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19.19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73.46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47.28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71.69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51.05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15.79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138.53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72.26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47.29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18.5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72.97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46.72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17.71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74.41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45.91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16.93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70.84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45.59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19.05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135.49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50.13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16.21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136.59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70.14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49.87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15.69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70.31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51.21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15.23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70.19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50.14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14.96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71.43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51.14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14.21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70.36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51.36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14.34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73.21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48.62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15.61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71.24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49.73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14.98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135.95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71.21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49.98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14.24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135.43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70.54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50.24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15.37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70.26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53.14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14.54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137.94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73.52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52.64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15.06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71.18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50.16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15.35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136.69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70.39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53.27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15.64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70.34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54.36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15.26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73.14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53.24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13.87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71.36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52.64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16.87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70.21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13.98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70.37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50.34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15.34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70.34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52.11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14.98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137.43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71.31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52.14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13.06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136.51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72.34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50.13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15.03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70.24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49.87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14.98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71.23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50.13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15.03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69.98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51.34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15.42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48.97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14.98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133.95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69.79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50.03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15.03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134.85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70.31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50.21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14.67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69.31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48.79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14.77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69.79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48.99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14.98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133.76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68.46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50.01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15.01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69.34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47.32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13.98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70.24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48.16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14.89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133.29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70.85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50.12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120.97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72.25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51.24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123.49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71.56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53.12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124.68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70.13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50.24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120.37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71.14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52.16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123.3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73.15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50.24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123.39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72.54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54.02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126.56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75.34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53.41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128.75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71.54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15.23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86.77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70.23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15.01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69.89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14.39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84.28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70.34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14.42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70.04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15.31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85.35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Yu Gothic Light">
    <w:altName w:val="Meiryo UI"/>
    <w:panose1 w:val="020B0300000000000000"/>
    <w:charset w:val="80"/>
    <w:family w:val="swiss"/>
    <w:pitch w:val="default"/>
    <w:sig w:usb0="00000000" w:usb1="00000000" w:usb2="00000016" w:usb3="00000000" w:csb0="2002009F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inionPro-Regular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EuclidSymbo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RMT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ionPro-Bold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MinionPro-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dvHelv_NBI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Helv_NB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orbel-Bold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+ZKdCuY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KdCuY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6+ZKdCut-7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5+ZKdCut-7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8+ZKdCut-7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25+ZKXLih-1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dvOT863180fb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OT863180fb+2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PS9779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dvP9725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Time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MT_SY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yriadMM-SemiBold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MM-SemiBoldItalic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MM-Italic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WarnockPro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JoannaMT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illSans-Light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illAltOneMT-LightItalic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AdvHelv_B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B7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4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4+CAJ FNT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9+CAJ FNT0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7+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LTStd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LTStd-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GPCK J+ Gulliver RM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Garamond">
    <w:panose1 w:val="02020404030301010803"/>
    <w:charset w:val="86"/>
    <w:family w:val="roman"/>
    <w:pitch w:val="default"/>
    <w:sig w:usb0="00000287" w:usb1="00000000" w:usb2="00000000" w:usb3="00000000" w:csb0="0000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GillSansMT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jpvvvAdvTTb8864ccf.B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wlgbwAdvTTb8864ccf.B+2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aturaMTScriptCapitals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TTe45e47d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AdvOT82c4f4c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Minion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OneGulliver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ionPro-It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F33C7"/>
    <w:rsid w:val="05920773"/>
    <w:rsid w:val="29C06F69"/>
    <w:rsid w:val="347A72FD"/>
    <w:rsid w:val="3B0F33C7"/>
    <w:rsid w:val="40FD0EE8"/>
    <w:rsid w:val="4DBA05AC"/>
    <w:rsid w:val="570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11"/>
    <w:basedOn w:val="2"/>
    <w:qFormat/>
    <w:uiPriority w:val="0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21"/>
    <w:basedOn w:val="2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2018-01-23T01:16:00Z</dcterms:created>
  <dc:creator>Administrator</dc:creator>
  <cp:lastModifiedBy>Administrator</cp:lastModifiedBy>
  <dcterms:modified xsi:type="dcterms:W3CDTF">2018-02-26T08:57:24Z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