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71" w:rsidRPr="00576A71" w:rsidRDefault="00576A71" w:rsidP="00576A71">
      <w:pPr>
        <w:pStyle w:val="Ttulo1"/>
        <w:rPr>
          <w:b w:val="0"/>
        </w:rPr>
      </w:pPr>
      <w:bookmarkStart w:id="0" w:name="_GoBack"/>
      <w:r w:rsidRPr="00A637B0">
        <w:t xml:space="preserve">APPENDIX 1. </w:t>
      </w:r>
      <w:proofErr w:type="gramStart"/>
      <w:r w:rsidRPr="00576A71">
        <w:rPr>
          <w:b w:val="0"/>
        </w:rPr>
        <w:t xml:space="preserve">Previous studies of </w:t>
      </w:r>
      <w:proofErr w:type="spellStart"/>
      <w:r w:rsidRPr="00576A71">
        <w:rPr>
          <w:b w:val="0"/>
        </w:rPr>
        <w:t>hyolaryngeal</w:t>
      </w:r>
      <w:proofErr w:type="spellEnd"/>
      <w:r w:rsidRPr="00576A71">
        <w:rPr>
          <w:b w:val="0"/>
        </w:rPr>
        <w:t xml:space="preserve"> anatomy frogs in the family Hylidae</w:t>
      </w:r>
      <w:bookmarkEnd w:id="0"/>
      <w:r w:rsidRPr="00576A71">
        <w:rPr>
          <w:b w:val="0"/>
        </w:rPr>
        <w:t>.</w:t>
      </w:r>
      <w:proofErr w:type="gramEnd"/>
    </w:p>
    <w:tbl>
      <w:tblPr>
        <w:tblW w:w="12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2410"/>
        <w:gridCol w:w="3119"/>
      </w:tblGrid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jc w:val="center"/>
              <w:rPr>
                <w:rFonts w:ascii="Helvetica" w:eastAsia="Times New Roman" w:hAnsi="Helvetica" w:cs="Times New Roman"/>
                <w:b/>
                <w:bCs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b/>
                <w:bCs/>
                <w:lang w:val="en-US"/>
              </w:rPr>
              <w:t>Species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jc w:val="center"/>
              <w:rPr>
                <w:rFonts w:ascii="Helvetica" w:eastAsia="Times New Roman" w:hAnsi="Helvetica" w:cs="Times New Roman"/>
                <w:b/>
                <w:bCs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b/>
                <w:bCs/>
                <w:lang w:val="en-US"/>
              </w:rPr>
              <w:t>Larynx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jc w:val="center"/>
              <w:rPr>
                <w:rFonts w:ascii="Helvetica" w:eastAsia="Times New Roman" w:hAnsi="Helvetica" w:cs="Times New Roman"/>
                <w:b/>
                <w:bCs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b/>
                <w:bCs/>
                <w:lang w:val="en-US"/>
              </w:rPr>
              <w:t>Hyoid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Acris crepitans</w:t>
            </w: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(Baird, 1854)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Maglia et al. 2007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Maglia et al.  2007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Acris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gryllus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LeConte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1825)*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Wilder, 1896; 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Blume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1930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Wilder, 1896; 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Blume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1930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Agalychnis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dacnicolor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(Cope, 1864) cited as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Phyllomedusa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dacnicolor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*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Trewavas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1933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Aplastodiscus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perviridis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(Lutz, 1950)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Faivovich, 2002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Dendropsophus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bogerti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(Cochran and 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Goin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, 1970)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Hyla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bogerti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Kaplan, 1999 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Dendropsophus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carnifex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Duellman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, 1969)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Hyla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carnifex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Kaplan, 1999 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Dendropsophus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garagoensis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(Kaplan, 1991)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Hyla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garagoensis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Kaplan, 1999 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Dendropsophus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praestans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Duellman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and Trueb, 1983)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Hyla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praestans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Kaplan, 1999 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Dryophytes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chrysoscelis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(Cope, 1880)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Hyla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chrysoscelis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Shearman and Maglia, 2014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Shearman and Maglia, 2014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Dryophytes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cinereus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(Schneider, 1799)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Hyla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cinerea-evittata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Blume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1930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Blume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1930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Dryophytes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squirellus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r w:rsidRPr="00A637B0">
              <w:rPr>
                <w:rFonts w:ascii="Helvetica" w:eastAsia="Times New Roman" w:hAnsi="Helvetica" w:cs="Times New Roman"/>
                <w:iCs/>
                <w:lang w:val="en-US"/>
              </w:rPr>
              <w:t>(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Daudin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, 1800)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Hyla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squirella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Fears, 2010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Dryophytes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versicolor </w:t>
            </w:r>
            <w:r w:rsidRPr="00A637B0">
              <w:rPr>
                <w:rFonts w:ascii="Helvetica" w:eastAsia="Times New Roman" w:hAnsi="Helvetica" w:cs="Times New Roman"/>
                <w:iCs/>
                <w:lang w:val="en-US"/>
              </w:rPr>
              <w:t>(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LeConte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, 1825)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Hyla versicolor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Wilder, 1896; 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Trewavas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1933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Wilder, 1896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Dryopsophus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aureus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(Lesson, 1829)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Hyla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aurea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Trewavas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1933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Dryopsophus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caeruleus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(White, 1790)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Hyla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caerulea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Trewavas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1933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Parker, 1881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Dryopsophus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phyllochrous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Günther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, 1863)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Hyla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phyllochroa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Parker, 1881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lastRenderedPageBreak/>
              <w:t>Gastrotheca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marsupiata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Duméril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and 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Bibron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, 1841) cited as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Nototrema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marsupiatum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Parker, 1881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Gastrotheca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riobambae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r w:rsidRPr="00A637B0">
              <w:rPr>
                <w:rFonts w:ascii="Helvetica" w:eastAsia="Times New Roman" w:hAnsi="Helvetica" w:cs="Times New Roman"/>
                <w:iCs/>
                <w:lang w:val="en-US"/>
              </w:rPr>
              <w:t>(</w:t>
            </w:r>
            <w:r w:rsidRPr="00A637B0">
              <w:rPr>
                <w:rFonts w:ascii="Helvetica" w:eastAsia="Times New Roman" w:hAnsi="Helvetica" w:cs="Times New Roman"/>
                <w:lang w:val="en-US"/>
              </w:rPr>
              <w:t>Fowler, 1913)*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Haas, 1999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Haas, 1999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Hyla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annectens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Jerdon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1870)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Trewavas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1933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</w:tr>
      <w:tr w:rsidR="00576A71" w:rsidRPr="00A637B0" w:rsidTr="00AA2D87">
        <w:trPr>
          <w:trHeight w:val="600"/>
        </w:trPr>
        <w:tc>
          <w:tcPr>
            <w:tcW w:w="7386" w:type="dxa"/>
            <w:shd w:val="clear" w:color="000000" w:fill="FFFFFF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Hyla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arborea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r w:rsidRPr="00A637B0">
              <w:rPr>
                <w:rFonts w:ascii="Helvetica" w:eastAsia="Times New Roman" w:hAnsi="Helvetica" w:cs="Times New Roman"/>
                <w:iCs/>
                <w:lang w:val="en-US"/>
              </w:rPr>
              <w:t>(</w:t>
            </w:r>
            <w:r w:rsidRPr="00A637B0">
              <w:rPr>
                <w:rFonts w:ascii="Helvetica" w:eastAsia="Times New Roman" w:hAnsi="Helvetica" w:cs="Times New Roman"/>
                <w:lang w:val="en-US"/>
              </w:rPr>
              <w:t>Linnaeus, 1758)</w:t>
            </w:r>
          </w:p>
        </w:tc>
        <w:tc>
          <w:tcPr>
            <w:tcW w:w="2410" w:type="dxa"/>
            <w:shd w:val="clear" w:color="000000" w:fill="FFFFFF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Blume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, 1930; Schneider, 1970; 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Eichelberg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and Schneider, 1974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Blume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, 1930; Schneider, 1970; 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Eichelberg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and Schneider, 1974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Hyla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meridionalis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r w:rsidRPr="00A637B0">
              <w:rPr>
                <w:rFonts w:ascii="Helvetica" w:eastAsia="Times New Roman" w:hAnsi="Helvetica" w:cs="Times New Roman"/>
                <w:iCs/>
                <w:lang w:val="en-US"/>
              </w:rPr>
              <w:t>(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Boettger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1874)*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576A71" w:rsidRPr="00A637B0" w:rsidRDefault="00576A71" w:rsidP="00576A71">
            <w:pPr>
              <w:spacing w:line="276" w:lineRule="auto"/>
              <w:ind w:left="72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Schneider, 1970; Kaplan, 1999 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Schneider, 1970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i/>
                <w:iCs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Hyla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rubra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r w:rsidRPr="00A637B0">
              <w:rPr>
                <w:rFonts w:ascii="Helvetica" w:eastAsia="Times New Roman" w:hAnsi="Helvetica" w:cs="Times New Roman"/>
                <w:iCs/>
                <w:lang w:val="en-US"/>
              </w:rPr>
              <w:t>(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Daudin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1802)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ind w:left="-70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Parker, 1881; 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Trewavas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1933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Parker, 1881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Hypsiboas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albomarginata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r w:rsidRPr="00A637B0">
              <w:rPr>
                <w:rFonts w:ascii="Helvetica" w:eastAsia="Times New Roman" w:hAnsi="Helvetica" w:cs="Times New Roman"/>
                <w:iCs/>
                <w:lang w:val="en-US"/>
              </w:rPr>
              <w:t>(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Spix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, 1824)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Hyla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albomarginata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Parker, 1881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Hypsiboas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faber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Wied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-Neuwied, 1821)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Hyla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faber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Blume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1930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Blume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1930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Hypsiboas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punctatus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(Schneider, 1799)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Hyla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punctata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Henle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1839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Hypsiboas raniceps </w:t>
            </w:r>
            <w:r w:rsidRPr="00A637B0">
              <w:rPr>
                <w:rFonts w:ascii="Helvetica" w:eastAsia="Times New Roman" w:hAnsi="Helvetica" w:cs="Times New Roman"/>
                <w:iCs/>
                <w:lang w:val="en-US"/>
              </w:rPr>
              <w:t>(</w:t>
            </w: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Cope, 1862)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Hyla raniceps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Faivovich, 2002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Litoria bicolor</w:t>
            </w: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(Gray, 1842)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Hyla bicolor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Parker, 1881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Litoria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ewingii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Duméril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and 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Bibron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, 1841)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Hyla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ewingii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Trewavas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1933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Parker, 1881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Niceforonia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columbiana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r w:rsidRPr="00A637B0">
              <w:rPr>
                <w:rFonts w:ascii="Helvetica" w:eastAsia="Times New Roman" w:hAnsi="Helvetica" w:cs="Times New Roman"/>
                <w:iCs/>
                <w:lang w:val="en-US"/>
              </w:rPr>
              <w:t>(</w:t>
            </w: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Werner, 1899)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Hyla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columbiana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Kaplan, 1999 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i/>
                <w:iCs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Ololygon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albicans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Bokermann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1967)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r w:rsidRPr="00A637B0">
              <w:rPr>
                <w:rFonts w:ascii="Helvetica" w:eastAsia="Times New Roman" w:hAnsi="Helvetica" w:cs="Times New Roman"/>
                <w:lang w:val="en-US"/>
              </w:rPr>
              <w:t>cited as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r w:rsidRPr="00A637B0">
              <w:rPr>
                <w:rFonts w:ascii="Helvetica" w:eastAsia="Times New Roman" w:hAnsi="Helvetica" w:cs="Times New Roman"/>
                <w:i/>
                <w:lang w:val="en-US"/>
              </w:rPr>
              <w:t xml:space="preserve">Scinax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lang w:val="en-US"/>
              </w:rPr>
              <w:t>albicans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Faivovich, 2002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Faivovich, 2002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i/>
                <w:iCs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Ololygon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littoralis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r w:rsidRPr="00A637B0">
              <w:rPr>
                <w:rFonts w:ascii="Helvetica" w:eastAsia="Times New Roman" w:hAnsi="Helvetica" w:cs="Times New Roman"/>
                <w:iCs/>
                <w:lang w:val="en-US"/>
              </w:rPr>
              <w:t>(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Pombal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and Gordo, 1991)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Scinax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littoralis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Faivovich, 2002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Phyllomedusa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bicolor </w:t>
            </w:r>
            <w:r w:rsidRPr="00A637B0">
              <w:rPr>
                <w:rFonts w:ascii="Helvetica" w:eastAsia="Times New Roman" w:hAnsi="Helvetica" w:cs="Times New Roman"/>
                <w:iCs/>
                <w:lang w:val="en-US"/>
              </w:rPr>
              <w:t>(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Boddaert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1772)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Parker, 1881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Phyllomedusa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rohdei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Mertens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, 1926) cited as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Phyllomedusa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moschata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ind w:left="638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Blume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1930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Blume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1930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Pseudacris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brachyphona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(Cope, 1889)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Gaudin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1974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Pseudacris crucifer</w:t>
            </w: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Wied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-Neuwied, 1838)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Hyla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pickeringii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*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ind w:left="638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Wilder, 1896; 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Blume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1930; Havens, 2010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Wilder, 1896; 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Blume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1930; Havens, 2010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Pseudacris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feriarum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(Baird, 1854) cited as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Chorophilus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feriarum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ind w:left="71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Wilder, 1896; 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Blume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1930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Wilder, 1896; 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Blume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1930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i/>
                <w:iCs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Scinax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fuscomarginatus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r w:rsidRPr="00A637B0">
              <w:rPr>
                <w:rFonts w:ascii="Helvetica" w:eastAsia="Times New Roman" w:hAnsi="Helvetica" w:cs="Times New Roman"/>
                <w:iCs/>
                <w:lang w:val="en-US"/>
              </w:rPr>
              <w:t>(</w:t>
            </w: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Lutz, 1925)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Scinax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fuscomarginata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Faivovich, 2002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i/>
                <w:iCs/>
                <w:lang w:val="es-CO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s-CO"/>
              </w:rPr>
              <w:t xml:space="preserve">Scinax perereca </w:t>
            </w:r>
            <w:r w:rsidRPr="00A637B0">
              <w:rPr>
                <w:rFonts w:ascii="Helvetica" w:eastAsia="Times New Roman" w:hAnsi="Helvetica" w:cs="Times New Roman"/>
                <w:iCs/>
                <w:lang w:val="es-CO"/>
              </w:rPr>
              <w:t>(</w:t>
            </w:r>
            <w:r w:rsidRPr="00A637B0">
              <w:rPr>
                <w:rFonts w:ascii="Helvetica" w:eastAsia="Times New Roman" w:hAnsi="Helvetica" w:cs="Times New Roman"/>
                <w:lang w:val="es-CO"/>
              </w:rPr>
              <w:t>Pombal, Haddad, and Kasahara, 1995)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Faivovich, 2002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Faivovich, 2002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Scinax ruber </w:t>
            </w:r>
            <w:r w:rsidRPr="00A637B0">
              <w:rPr>
                <w:rFonts w:ascii="Helvetica" w:eastAsia="Times New Roman" w:hAnsi="Helvetica" w:cs="Times New Roman"/>
                <w:iCs/>
                <w:lang w:val="en-US"/>
              </w:rPr>
              <w:t>(</w:t>
            </w: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Linnaeus, 1758)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Scinax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rubra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*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Kaplan, 1999 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Smilisca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baudini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Duméril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and 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Bibron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1841)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Duellman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and Trueb, 1966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Sphaenorhynchus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lacteus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</w:t>
            </w: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Daudin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, 1800)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Hyla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sceleton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Henle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1839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</w:tr>
      <w:tr w:rsidR="00576A71" w:rsidRPr="00A637B0" w:rsidTr="00AA2D87">
        <w:trPr>
          <w:trHeight w:val="300"/>
        </w:trPr>
        <w:tc>
          <w:tcPr>
            <w:tcW w:w="7386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Trachycephalus typhonius</w:t>
            </w:r>
            <w:r w:rsidRPr="00A637B0">
              <w:rPr>
                <w:rFonts w:ascii="Helvetica" w:eastAsia="Times New Roman" w:hAnsi="Helvetica" w:cs="Times New Roman"/>
                <w:lang w:val="en-US"/>
              </w:rPr>
              <w:t xml:space="preserve"> (Linnaeus, 1758) cited as </w:t>
            </w:r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 xml:space="preserve">Hyla </w:t>
            </w:r>
            <w:proofErr w:type="spellStart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venulosa</w:t>
            </w:r>
            <w:proofErr w:type="spellEnd"/>
            <w:r w:rsidRPr="00A637B0">
              <w:rPr>
                <w:rFonts w:ascii="Helvetica" w:eastAsia="Times New Roman" w:hAnsi="Helvetica" w:cs="Times New Roman"/>
                <w:i/>
                <w:iCs/>
                <w:lang w:val="en-US"/>
              </w:rPr>
              <w:t>*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proofErr w:type="spellStart"/>
            <w:r w:rsidRPr="00A637B0">
              <w:rPr>
                <w:rFonts w:ascii="Helvetica" w:eastAsia="Times New Roman" w:hAnsi="Helvetica" w:cs="Times New Roman"/>
                <w:lang w:val="en-US"/>
              </w:rPr>
              <w:t>Henle</w:t>
            </w:r>
            <w:proofErr w:type="spellEnd"/>
            <w:r w:rsidRPr="00A637B0">
              <w:rPr>
                <w:rFonts w:ascii="Helvetica" w:eastAsia="Times New Roman" w:hAnsi="Helvetica" w:cs="Times New Roman"/>
                <w:lang w:val="en-US"/>
              </w:rPr>
              <w:t>, 1839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576A71" w:rsidRPr="00A637B0" w:rsidRDefault="00576A71" w:rsidP="00576A71">
            <w:pPr>
              <w:spacing w:line="276" w:lineRule="auto"/>
              <w:rPr>
                <w:rFonts w:ascii="Helvetica" w:eastAsia="Times New Roman" w:hAnsi="Helvetica" w:cs="Times New Roman"/>
                <w:lang w:val="en-US"/>
              </w:rPr>
            </w:pPr>
            <w:r w:rsidRPr="00A637B0">
              <w:rPr>
                <w:rFonts w:ascii="Helvetica" w:eastAsia="Times New Roman" w:hAnsi="Helvetica" w:cs="Times New Roman"/>
                <w:lang w:val="en-US"/>
              </w:rPr>
              <w:t>-</w:t>
            </w:r>
          </w:p>
        </w:tc>
      </w:tr>
    </w:tbl>
    <w:p w:rsidR="00576A71" w:rsidRPr="00A637B0" w:rsidRDefault="00576A71" w:rsidP="00576A71">
      <w:pPr>
        <w:spacing w:line="276" w:lineRule="auto"/>
        <w:rPr>
          <w:rFonts w:ascii="Helvetica" w:hAnsi="Helvetica"/>
          <w:lang w:val="en-US"/>
        </w:rPr>
      </w:pPr>
      <w:r w:rsidRPr="00A637B0">
        <w:rPr>
          <w:rFonts w:ascii="Helvetica" w:hAnsi="Helvetica"/>
          <w:lang w:val="en-US"/>
        </w:rPr>
        <w:t>*Drawing contribution in this study</w:t>
      </w:r>
    </w:p>
    <w:p w:rsidR="00D146D1" w:rsidRDefault="00D146D1"/>
    <w:sectPr w:rsidR="00D146D1" w:rsidSect="00576A71">
      <w:pgSz w:w="15842" w:h="12242" w:orient="landscape"/>
      <w:pgMar w:top="1701" w:right="1701" w:bottom="1701" w:left="1701" w:header="0" w:footer="0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71"/>
    <w:rsid w:val="00576A71"/>
    <w:rsid w:val="00AA2D87"/>
    <w:rsid w:val="00D1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591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71"/>
    <w:pPr>
      <w:spacing w:line="480" w:lineRule="auto"/>
    </w:pPr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76A71"/>
    <w:pPr>
      <w:keepNext/>
      <w:keepLines/>
      <w:spacing w:line="276" w:lineRule="auto"/>
      <w:outlineLvl w:val="0"/>
    </w:pPr>
    <w:rPr>
      <w:rFonts w:ascii="Helvetica" w:eastAsia="Times" w:hAnsi="Helvetica" w:cs="Times New Roman"/>
      <w:b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6A71"/>
    <w:rPr>
      <w:rFonts w:ascii="Helvetica" w:eastAsia="Times" w:hAnsi="Helvetica" w:cs="Times New Roman"/>
      <w:b/>
      <w:lang w:val="en-US" w:eastAsia="en-US"/>
    </w:rPr>
  </w:style>
  <w:style w:type="character" w:styleId="Nmerodelnea">
    <w:name w:val="line number"/>
    <w:basedOn w:val="Fuentedeprrafopredeter"/>
    <w:uiPriority w:val="99"/>
    <w:semiHidden/>
    <w:unhideWhenUsed/>
    <w:rsid w:val="00576A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71"/>
    <w:pPr>
      <w:spacing w:line="480" w:lineRule="auto"/>
    </w:pPr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76A71"/>
    <w:pPr>
      <w:keepNext/>
      <w:keepLines/>
      <w:spacing w:line="276" w:lineRule="auto"/>
      <w:outlineLvl w:val="0"/>
    </w:pPr>
    <w:rPr>
      <w:rFonts w:ascii="Helvetica" w:eastAsia="Times" w:hAnsi="Helvetica" w:cs="Times New Roman"/>
      <w:b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6A71"/>
    <w:rPr>
      <w:rFonts w:ascii="Helvetica" w:eastAsia="Times" w:hAnsi="Helvetica" w:cs="Times New Roman"/>
      <w:b/>
      <w:lang w:val="en-US" w:eastAsia="en-US"/>
    </w:rPr>
  </w:style>
  <w:style w:type="character" w:styleId="Nmerodelnea">
    <w:name w:val="line number"/>
    <w:basedOn w:val="Fuentedeprrafopredeter"/>
    <w:uiPriority w:val="99"/>
    <w:semiHidden/>
    <w:unhideWhenUsed/>
    <w:rsid w:val="0057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554</Words>
  <Characters>3050</Characters>
  <Application>Microsoft Macintosh Word</Application>
  <DocSecurity>0</DocSecurity>
  <Lines>25</Lines>
  <Paragraphs>7</Paragraphs>
  <ScaleCrop>false</ScaleCrop>
  <Company>PUJ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Arenas Rodríguez</dc:creator>
  <cp:keywords/>
  <dc:description/>
  <cp:lastModifiedBy>Angélica Arenas Rodríguez</cp:lastModifiedBy>
  <cp:revision>1</cp:revision>
  <dcterms:created xsi:type="dcterms:W3CDTF">2017-09-21T17:54:00Z</dcterms:created>
  <dcterms:modified xsi:type="dcterms:W3CDTF">2017-09-21T18:09:00Z</dcterms:modified>
</cp:coreProperties>
</file>