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91" w:rsidRPr="00B83BCC" w:rsidRDefault="00FC0491" w:rsidP="00FC0491">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Supplemental information to submitted article: </w:t>
      </w:r>
      <w:r w:rsidRPr="00B83BCC">
        <w:rPr>
          <w:rFonts w:ascii="Times New Roman" w:hAnsi="Times New Roman" w:cs="Times New Roman"/>
          <w:b/>
          <w:sz w:val="24"/>
          <w:szCs w:val="24"/>
        </w:rPr>
        <w:t>Density and population viability of coastal marten: a rare and geographically isolated small carnivore</w:t>
      </w:r>
    </w:p>
    <w:p w:rsidR="00AA4CDF" w:rsidRPr="00B83BCC" w:rsidRDefault="00FC0491" w:rsidP="00AA4CDF">
      <w:pPr>
        <w:spacing w:line="480" w:lineRule="auto"/>
        <w:rPr>
          <w:rFonts w:ascii="Times New Roman" w:hAnsi="Times New Roman" w:cs="Times New Roman"/>
          <w:sz w:val="24"/>
          <w:szCs w:val="24"/>
        </w:rPr>
      </w:pPr>
      <w:r w:rsidRPr="00B83BCC">
        <w:rPr>
          <w:rFonts w:ascii="Times New Roman" w:hAnsi="Times New Roman" w:cs="Times New Roman"/>
          <w:b/>
          <w:sz w:val="24"/>
          <w:szCs w:val="24"/>
        </w:rPr>
        <w:t>Mark A. Linnell</w:t>
      </w:r>
      <w:r w:rsidRPr="00B83BCC">
        <w:rPr>
          <w:rFonts w:ascii="Times New Roman" w:hAnsi="Times New Roman" w:cs="Times New Roman"/>
          <w:sz w:val="24"/>
          <w:szCs w:val="24"/>
          <w:vertAlign w:val="superscript"/>
        </w:rPr>
        <w:t>1a</w:t>
      </w:r>
      <w:r w:rsidRPr="00B83BCC">
        <w:rPr>
          <w:rFonts w:ascii="Times New Roman" w:hAnsi="Times New Roman" w:cs="Times New Roman"/>
        </w:rPr>
        <w:t xml:space="preserve">, </w:t>
      </w:r>
      <w:r w:rsidRPr="00B83BCC">
        <w:rPr>
          <w:rFonts w:ascii="Times New Roman" w:hAnsi="Times New Roman" w:cs="Times New Roman"/>
          <w:b/>
          <w:sz w:val="24"/>
          <w:szCs w:val="24"/>
        </w:rPr>
        <w:t>Katie M. Moriarty</w:t>
      </w:r>
      <w:r w:rsidRPr="00B83BCC">
        <w:rPr>
          <w:rFonts w:ascii="Times New Roman" w:hAnsi="Times New Roman" w:cs="Times New Roman"/>
          <w:sz w:val="24"/>
          <w:szCs w:val="24"/>
          <w:vertAlign w:val="superscript"/>
        </w:rPr>
        <w:t>2a</w:t>
      </w:r>
      <w:r w:rsidRPr="00B83BCC">
        <w:rPr>
          <w:rFonts w:ascii="Times New Roman" w:hAnsi="Times New Roman" w:cs="Times New Roman"/>
        </w:rPr>
        <w:t xml:space="preserve">, </w:t>
      </w:r>
      <w:r w:rsidRPr="00B83BCC">
        <w:rPr>
          <w:rFonts w:ascii="Times New Roman" w:hAnsi="Times New Roman" w:cs="Times New Roman"/>
          <w:b/>
          <w:sz w:val="24"/>
          <w:szCs w:val="24"/>
        </w:rPr>
        <w:t>David S. Green</w:t>
      </w:r>
      <w:r w:rsidRPr="00B83BCC">
        <w:rPr>
          <w:rFonts w:ascii="Times New Roman" w:hAnsi="Times New Roman" w:cs="Times New Roman"/>
          <w:sz w:val="24"/>
          <w:szCs w:val="24"/>
          <w:vertAlign w:val="superscript"/>
        </w:rPr>
        <w:t>3</w:t>
      </w:r>
      <w:r w:rsidRPr="00B83BCC">
        <w:rPr>
          <w:rFonts w:ascii="Times New Roman" w:hAnsi="Times New Roman" w:cs="Times New Roman"/>
          <w:sz w:val="24"/>
          <w:szCs w:val="24"/>
        </w:rPr>
        <w:t xml:space="preserve">, </w:t>
      </w:r>
      <w:r w:rsidRPr="00B83BCC">
        <w:rPr>
          <w:rFonts w:ascii="Times New Roman" w:hAnsi="Times New Roman" w:cs="Times New Roman"/>
          <w:b/>
          <w:sz w:val="24"/>
          <w:szCs w:val="24"/>
        </w:rPr>
        <w:t>Taal Levi</w:t>
      </w:r>
      <w:r w:rsidRPr="00B83BCC">
        <w:rPr>
          <w:rFonts w:ascii="Times New Roman" w:hAnsi="Times New Roman" w:cs="Times New Roman"/>
          <w:sz w:val="24"/>
          <w:szCs w:val="24"/>
          <w:vertAlign w:val="superscript"/>
        </w:rPr>
        <w:t>4</w:t>
      </w:r>
    </w:p>
    <w:p w:rsidR="00AA4CDF" w:rsidRPr="00B83BCC" w:rsidRDefault="00FC0491" w:rsidP="00AA4CDF">
      <w:pPr>
        <w:spacing w:line="480" w:lineRule="auto"/>
        <w:rPr>
          <w:rFonts w:ascii="Times New Roman" w:hAnsi="Times New Roman" w:cs="Times New Roman"/>
          <w:color w:val="000000"/>
          <w:sz w:val="24"/>
          <w:szCs w:val="24"/>
          <w:lang w:val="en"/>
        </w:rPr>
      </w:pPr>
      <w:r>
        <w:rPr>
          <w:rFonts w:ascii="Times New Roman" w:hAnsi="Times New Roman" w:cs="Times New Roman"/>
          <w:sz w:val="24"/>
          <w:szCs w:val="24"/>
        </w:rPr>
        <w:t>Table</w:t>
      </w:r>
      <w:r w:rsidR="00AA4CDF">
        <w:rPr>
          <w:rFonts w:ascii="Times New Roman" w:hAnsi="Times New Roman" w:cs="Times New Roman"/>
          <w:sz w:val="24"/>
          <w:szCs w:val="24"/>
        </w:rPr>
        <w:t xml:space="preserve"> </w:t>
      </w:r>
      <w:r>
        <w:rPr>
          <w:rFonts w:ascii="Times New Roman" w:hAnsi="Times New Roman" w:cs="Times New Roman"/>
          <w:sz w:val="24"/>
          <w:szCs w:val="24"/>
        </w:rPr>
        <w:t>2</w:t>
      </w:r>
      <w:bookmarkStart w:id="0" w:name="_GoBack"/>
      <w:bookmarkEnd w:id="0"/>
      <w:r w:rsidR="00AA4CDF" w:rsidRPr="00B83BCC">
        <w:rPr>
          <w:rFonts w:ascii="Times New Roman" w:hAnsi="Times New Roman" w:cs="Times New Roman"/>
          <w:sz w:val="24"/>
          <w:szCs w:val="24"/>
        </w:rPr>
        <w:t>. Technical articles that included the keywords “marten”, “density”, “territory”, and “home range”.  Of the &gt;75 papers reviewed for North American martens (</w:t>
      </w:r>
      <w:r w:rsidR="00AA4CDF" w:rsidRPr="00B83BCC">
        <w:rPr>
          <w:rFonts w:ascii="Times New Roman" w:hAnsi="Times New Roman" w:cs="Times New Roman"/>
          <w:i/>
          <w:sz w:val="24"/>
          <w:szCs w:val="24"/>
        </w:rPr>
        <w:t xml:space="preserve">Martes </w:t>
      </w:r>
      <w:proofErr w:type="gramStart"/>
      <w:r w:rsidR="00AA4CDF" w:rsidRPr="00B83BCC">
        <w:rPr>
          <w:rFonts w:ascii="Times New Roman" w:hAnsi="Times New Roman" w:cs="Times New Roman"/>
          <w:i/>
          <w:sz w:val="24"/>
          <w:szCs w:val="24"/>
        </w:rPr>
        <w:t>americana</w:t>
      </w:r>
      <w:proofErr w:type="gramEnd"/>
      <w:r w:rsidR="00AA4CDF" w:rsidRPr="00B83BCC">
        <w:rPr>
          <w:rFonts w:ascii="Times New Roman" w:hAnsi="Times New Roman" w:cs="Times New Roman"/>
          <w:i/>
          <w:sz w:val="24"/>
          <w:szCs w:val="24"/>
        </w:rPr>
        <w:t>, M. caurina</w:t>
      </w:r>
      <w:r w:rsidR="00AA4CDF" w:rsidRPr="00B83BCC">
        <w:rPr>
          <w:rFonts w:ascii="Times New Roman" w:hAnsi="Times New Roman" w:cs="Times New Roman"/>
          <w:sz w:val="24"/>
          <w:szCs w:val="24"/>
        </w:rPr>
        <w:t xml:space="preserve">), four reported both home range sizes and density. </w:t>
      </w:r>
      <w:r w:rsidR="00AA4CDF" w:rsidRPr="00B83BCC">
        <w:rPr>
          <w:rFonts w:ascii="Times New Roman" w:hAnsi="Times New Roman" w:cs="Times New Roman"/>
          <w:color w:val="000000"/>
          <w:sz w:val="24"/>
          <w:szCs w:val="24"/>
          <w:lang w:val="en"/>
        </w:rPr>
        <w:t>Territories were estimated using either 100% Minimum Convex Polygons (MCP) or time-influenced Local Convex Hulls (t-</w:t>
      </w:r>
      <w:proofErr w:type="spellStart"/>
      <w:r w:rsidR="00AA4CDF" w:rsidRPr="00B83BCC">
        <w:rPr>
          <w:rFonts w:ascii="Times New Roman" w:hAnsi="Times New Roman" w:cs="Times New Roman"/>
          <w:color w:val="000000"/>
          <w:sz w:val="24"/>
          <w:szCs w:val="24"/>
          <w:lang w:val="en"/>
        </w:rPr>
        <w:t>LoCoH</w:t>
      </w:r>
      <w:proofErr w:type="spellEnd"/>
      <w:r w:rsidR="00AA4CDF" w:rsidRPr="00B83BCC">
        <w:rPr>
          <w:rFonts w:ascii="Times New Roman" w:hAnsi="Times New Roman" w:cs="Times New Roman"/>
          <w:color w:val="000000"/>
          <w:sz w:val="24"/>
          <w:szCs w:val="24"/>
          <w:lang w:val="en"/>
        </w:rPr>
        <w:t>). Reported densities were either minimum known alive (MNKA) or calculated with spatial mark-recapture (SMR). Studies were conducted in Maine, USA (Payer and Harrison 1999), central British Columbia, Canada (Poole et al. 2004), New Hampshire, USA (Siren et al. 2016), and Quebec, Canada (Godbout and Ouellet 2010).</w:t>
      </w:r>
    </w:p>
    <w:p w:rsidR="00AA4CDF" w:rsidRPr="00B83BCC" w:rsidRDefault="00AA4CDF" w:rsidP="00AA4CDF">
      <w:pPr>
        <w:spacing w:line="480" w:lineRule="auto"/>
        <w:rPr>
          <w:rFonts w:ascii="Times New Roman" w:hAnsi="Times New Roman" w:cs="Times New Roman"/>
          <w:sz w:val="24"/>
          <w:szCs w:val="24"/>
          <w:vertAlign w:val="superscript"/>
        </w:rPr>
      </w:pPr>
    </w:p>
    <w:tbl>
      <w:tblPr>
        <w:tblW w:w="12219" w:type="dxa"/>
        <w:tblLook w:val="04A0" w:firstRow="1" w:lastRow="0" w:firstColumn="1" w:lastColumn="0" w:noHBand="0" w:noVBand="1"/>
      </w:tblPr>
      <w:tblGrid>
        <w:gridCol w:w="2790"/>
        <w:gridCol w:w="1800"/>
        <w:gridCol w:w="1800"/>
        <w:gridCol w:w="1943"/>
        <w:gridCol w:w="276"/>
        <w:gridCol w:w="1308"/>
        <w:gridCol w:w="2026"/>
        <w:gridCol w:w="276"/>
      </w:tblGrid>
      <w:tr w:rsidR="00AA4CDF" w:rsidRPr="00B83BCC" w:rsidTr="001C4CA1">
        <w:trPr>
          <w:trHeight w:val="324"/>
        </w:trPr>
        <w:tc>
          <w:tcPr>
            <w:tcW w:w="2790" w:type="dxa"/>
            <w:tcBorders>
              <w:top w:val="single" w:sz="4" w:space="0" w:color="auto"/>
              <w:left w:val="nil"/>
              <w:bottom w:val="nil"/>
              <w:right w:val="nil"/>
            </w:tcBorders>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c>
          <w:tcPr>
            <w:tcW w:w="5543" w:type="dxa"/>
            <w:gridSpan w:val="3"/>
            <w:tcBorders>
              <w:top w:val="single" w:sz="4" w:space="0" w:color="auto"/>
              <w:left w:val="nil"/>
              <w:bottom w:val="nil"/>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Territory size estimates (km</w:t>
            </w:r>
            <w:r w:rsidRPr="00B83BCC">
              <w:rPr>
                <w:rFonts w:ascii="Times New Roman" w:eastAsia="Times New Roman" w:hAnsi="Times New Roman" w:cs="Times New Roman"/>
                <w:color w:val="000000"/>
                <w:sz w:val="24"/>
                <w:szCs w:val="24"/>
                <w:vertAlign w:val="superscript"/>
              </w:rPr>
              <w:t>2</w:t>
            </w:r>
            <w:r w:rsidRPr="00B83BCC">
              <w:rPr>
                <w:rFonts w:ascii="Times New Roman" w:eastAsia="Times New Roman" w:hAnsi="Times New Roman" w:cs="Times New Roman"/>
                <w:color w:val="000000"/>
                <w:sz w:val="24"/>
                <w:szCs w:val="24"/>
              </w:rPr>
              <w:t xml:space="preserve"> ± </w:t>
            </w:r>
            <w:r w:rsidRPr="00B83BCC">
              <w:rPr>
                <w:rFonts w:ascii="Times New Roman" w:eastAsia="Times New Roman" w:hAnsi="Times New Roman" w:cs="Times New Roman"/>
                <w:i/>
                <w:color w:val="000000"/>
                <w:sz w:val="24"/>
                <w:szCs w:val="24"/>
              </w:rPr>
              <w:t>SD</w:t>
            </w:r>
            <w:r w:rsidRPr="00B83BCC">
              <w:rPr>
                <w:rFonts w:ascii="Times New Roman" w:eastAsia="Times New Roman" w:hAnsi="Times New Roman" w:cs="Times New Roman"/>
                <w:color w:val="000000"/>
                <w:sz w:val="24"/>
                <w:szCs w:val="24"/>
              </w:rPr>
              <w:t xml:space="preserve">, </w:t>
            </w:r>
            <w:r w:rsidRPr="00B83BCC">
              <w:rPr>
                <w:rFonts w:ascii="Times New Roman" w:eastAsia="Times New Roman" w:hAnsi="Times New Roman" w:cs="Times New Roman"/>
                <w:i/>
                <w:color w:val="000000"/>
                <w:sz w:val="24"/>
                <w:szCs w:val="24"/>
              </w:rPr>
              <w:t>n</w:t>
            </w:r>
            <w:r w:rsidRPr="00B83BCC">
              <w:rPr>
                <w:rFonts w:ascii="Times New Roman" w:eastAsia="Times New Roman" w:hAnsi="Times New Roman" w:cs="Times New Roman"/>
                <w:color w:val="000000"/>
                <w:sz w:val="24"/>
                <w:szCs w:val="24"/>
              </w:rPr>
              <w:t>)</w:t>
            </w:r>
          </w:p>
        </w:tc>
        <w:tc>
          <w:tcPr>
            <w:tcW w:w="276" w:type="dxa"/>
            <w:tcBorders>
              <w:top w:val="single" w:sz="4" w:space="0" w:color="auto"/>
              <w:left w:val="nil"/>
              <w:bottom w:val="nil"/>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c>
          <w:tcPr>
            <w:tcW w:w="3334" w:type="dxa"/>
            <w:gridSpan w:val="2"/>
            <w:tcBorders>
              <w:top w:val="single" w:sz="4" w:space="0" w:color="auto"/>
              <w:left w:val="nil"/>
              <w:bottom w:val="nil"/>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Density (</w:t>
            </w:r>
            <w:r w:rsidRPr="00B83BCC">
              <w:rPr>
                <w:rFonts w:ascii="Times New Roman" w:eastAsia="Times New Roman" w:hAnsi="Times New Roman" w:cs="Times New Roman"/>
                <w:i/>
                <w:color w:val="000000"/>
                <w:sz w:val="24"/>
                <w:szCs w:val="24"/>
              </w:rPr>
              <w:t>n</w:t>
            </w:r>
            <w:r w:rsidRPr="00B83BCC">
              <w:rPr>
                <w:rFonts w:ascii="Times New Roman" w:eastAsia="Times New Roman" w:hAnsi="Times New Roman" w:cs="Times New Roman"/>
                <w:color w:val="000000"/>
                <w:sz w:val="24"/>
                <w:szCs w:val="24"/>
              </w:rPr>
              <w:t>/km2)</w:t>
            </w:r>
          </w:p>
        </w:tc>
        <w:tc>
          <w:tcPr>
            <w:tcW w:w="276" w:type="dxa"/>
            <w:tcBorders>
              <w:top w:val="single" w:sz="4" w:space="0" w:color="auto"/>
              <w:left w:val="nil"/>
              <w:bottom w:val="nil"/>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r>
      <w:tr w:rsidR="00AA4CDF" w:rsidRPr="00B83BCC" w:rsidTr="001C4CA1">
        <w:trPr>
          <w:trHeight w:val="324"/>
        </w:trPr>
        <w:tc>
          <w:tcPr>
            <w:tcW w:w="2790" w:type="dxa"/>
            <w:tcBorders>
              <w:top w:val="nil"/>
              <w:left w:val="nil"/>
              <w:bottom w:val="single" w:sz="4" w:space="0" w:color="auto"/>
              <w:right w:val="nil"/>
            </w:tcBorders>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xml:space="preserve">Study </w:t>
            </w:r>
          </w:p>
        </w:tc>
        <w:tc>
          <w:tcPr>
            <w:tcW w:w="1800" w:type="dxa"/>
            <w:tcBorders>
              <w:top w:val="single" w:sz="4" w:space="0" w:color="auto"/>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xml:space="preserve">Male </w:t>
            </w:r>
          </w:p>
        </w:tc>
        <w:tc>
          <w:tcPr>
            <w:tcW w:w="1800" w:type="dxa"/>
            <w:tcBorders>
              <w:top w:val="single" w:sz="4" w:space="0" w:color="auto"/>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xml:space="preserve">Female </w:t>
            </w:r>
          </w:p>
        </w:tc>
        <w:tc>
          <w:tcPr>
            <w:tcW w:w="1943" w:type="dxa"/>
            <w:tcBorders>
              <w:top w:val="single" w:sz="4" w:space="0" w:color="auto"/>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Range Estimator</w:t>
            </w:r>
          </w:p>
        </w:tc>
        <w:tc>
          <w:tcPr>
            <w:tcW w:w="276"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c>
          <w:tcPr>
            <w:tcW w:w="1308" w:type="dxa"/>
            <w:tcBorders>
              <w:top w:val="single" w:sz="4" w:space="0" w:color="auto"/>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Density</w:t>
            </w:r>
          </w:p>
        </w:tc>
        <w:tc>
          <w:tcPr>
            <w:tcW w:w="2026" w:type="dxa"/>
            <w:tcBorders>
              <w:top w:val="single" w:sz="4" w:space="0" w:color="auto"/>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Density Estimator</w:t>
            </w:r>
          </w:p>
        </w:tc>
        <w:tc>
          <w:tcPr>
            <w:tcW w:w="276"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r>
      <w:tr w:rsidR="00AA4CDF" w:rsidRPr="00B83BCC" w:rsidTr="001C4CA1">
        <w:trPr>
          <w:trHeight w:val="372"/>
        </w:trPr>
        <w:tc>
          <w:tcPr>
            <w:tcW w:w="2790"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Payer and Harrison 1999</w:t>
            </w:r>
            <w:r w:rsidRPr="00B83BCC">
              <w:rPr>
                <w:rFonts w:ascii="Times New Roman" w:eastAsia="Times New Roman" w:hAnsi="Times New Roman" w:cs="Times New Roman"/>
                <w:color w:val="000000"/>
                <w:sz w:val="24"/>
                <w:szCs w:val="24"/>
                <w:vertAlign w:val="superscript"/>
              </w:rPr>
              <w:t>a</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3.25 ± 1.42, 41</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1.65  ± 0.86, 12</w:t>
            </w:r>
          </w:p>
        </w:tc>
        <w:tc>
          <w:tcPr>
            <w:tcW w:w="1943"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100% MCP</w:t>
            </w:r>
          </w:p>
        </w:tc>
        <w:tc>
          <w:tcPr>
            <w:tcW w:w="27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c>
          <w:tcPr>
            <w:tcW w:w="1308"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0.47</w:t>
            </w:r>
          </w:p>
        </w:tc>
        <w:tc>
          <w:tcPr>
            <w:tcW w:w="2026" w:type="dxa"/>
            <w:tcBorders>
              <w:top w:val="single" w:sz="4" w:space="0" w:color="auto"/>
              <w:left w:val="nil"/>
              <w:bottom w:val="nil"/>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MNKA</w:t>
            </w:r>
          </w:p>
        </w:tc>
        <w:tc>
          <w:tcPr>
            <w:tcW w:w="27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r>
      <w:tr w:rsidR="00AA4CDF" w:rsidRPr="00B83BCC" w:rsidTr="001C4CA1">
        <w:trPr>
          <w:trHeight w:val="372"/>
        </w:trPr>
        <w:tc>
          <w:tcPr>
            <w:tcW w:w="2790"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Payer and Harrison 1999</w:t>
            </w:r>
            <w:r w:rsidRPr="00B83BCC">
              <w:rPr>
                <w:rFonts w:ascii="Times New Roman" w:eastAsia="Times New Roman" w:hAnsi="Times New Roman" w:cs="Times New Roman"/>
                <w:color w:val="000000"/>
                <w:sz w:val="24"/>
                <w:szCs w:val="24"/>
                <w:vertAlign w:val="superscript"/>
              </w:rPr>
              <w:t>b</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4.44 ± 2.07, 25</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2.38  ± 1.35, 19</w:t>
            </w:r>
          </w:p>
        </w:tc>
        <w:tc>
          <w:tcPr>
            <w:tcW w:w="1943"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100% MCP</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c>
          <w:tcPr>
            <w:tcW w:w="1308"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0.11</w:t>
            </w:r>
          </w:p>
        </w:tc>
        <w:tc>
          <w:tcPr>
            <w:tcW w:w="202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MNKA</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r>
      <w:tr w:rsidR="00AA4CDF" w:rsidRPr="00B83BCC" w:rsidTr="001C4CA1">
        <w:trPr>
          <w:trHeight w:val="372"/>
        </w:trPr>
        <w:tc>
          <w:tcPr>
            <w:tcW w:w="2790"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Payer and Harrison 1999</w:t>
            </w:r>
            <w:r w:rsidRPr="00B83BCC">
              <w:rPr>
                <w:rFonts w:ascii="Times New Roman" w:eastAsia="Times New Roman" w:hAnsi="Times New Roman" w:cs="Times New Roman"/>
                <w:color w:val="000000"/>
                <w:sz w:val="24"/>
                <w:szCs w:val="24"/>
                <w:vertAlign w:val="superscript"/>
              </w:rPr>
              <w:t>c</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4.89 ± 2.23, 39</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2.88  ± 1.15, 39</w:t>
            </w:r>
          </w:p>
        </w:tc>
        <w:tc>
          <w:tcPr>
            <w:tcW w:w="1943"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100% MCP</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c>
          <w:tcPr>
            <w:tcW w:w="1308"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0.17</w:t>
            </w:r>
          </w:p>
        </w:tc>
        <w:tc>
          <w:tcPr>
            <w:tcW w:w="202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MNKA</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r>
      <w:tr w:rsidR="00AA4CDF" w:rsidRPr="00B83BCC" w:rsidTr="001C4CA1">
        <w:trPr>
          <w:trHeight w:val="312"/>
        </w:trPr>
        <w:tc>
          <w:tcPr>
            <w:tcW w:w="2790"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Poole et al. 2004</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3.30  ± 0.42, 22</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2.00  ± 0.4, 7</w:t>
            </w:r>
          </w:p>
        </w:tc>
        <w:tc>
          <w:tcPr>
            <w:tcW w:w="1943"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100% MCP</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c>
          <w:tcPr>
            <w:tcW w:w="1308"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0.34</w:t>
            </w:r>
          </w:p>
        </w:tc>
        <w:tc>
          <w:tcPr>
            <w:tcW w:w="202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MNKA</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r>
      <w:tr w:rsidR="00AA4CDF" w:rsidRPr="00B83BCC" w:rsidTr="001C4CA1">
        <w:trPr>
          <w:trHeight w:val="312"/>
        </w:trPr>
        <w:tc>
          <w:tcPr>
            <w:tcW w:w="2790"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lastRenderedPageBreak/>
              <w:t>Siren et al. 2016</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2.95 ± 0.27, 11</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1.55 ± 0.2, 4</w:t>
            </w:r>
          </w:p>
        </w:tc>
        <w:tc>
          <w:tcPr>
            <w:tcW w:w="1943"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100% MCP</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c>
          <w:tcPr>
            <w:tcW w:w="1308"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0.51±0.16</w:t>
            </w:r>
          </w:p>
        </w:tc>
        <w:tc>
          <w:tcPr>
            <w:tcW w:w="202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SMR</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r>
      <w:tr w:rsidR="00AA4CDF" w:rsidRPr="00B83BCC" w:rsidTr="001C4CA1">
        <w:trPr>
          <w:trHeight w:val="351"/>
        </w:trPr>
        <w:tc>
          <w:tcPr>
            <w:tcW w:w="2790"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Godbout and Ouellet 2010</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5.50  ± 1.0, 6</w:t>
            </w:r>
          </w:p>
        </w:tc>
        <w:tc>
          <w:tcPr>
            <w:tcW w:w="1800"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3.9  ± n/r, 6</w:t>
            </w:r>
          </w:p>
        </w:tc>
        <w:tc>
          <w:tcPr>
            <w:tcW w:w="1943"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100% MCP</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c>
          <w:tcPr>
            <w:tcW w:w="1308"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0.22±0.002</w:t>
            </w:r>
          </w:p>
        </w:tc>
        <w:tc>
          <w:tcPr>
            <w:tcW w:w="2026" w:type="dxa"/>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w:t>
            </w:r>
            <w:r w:rsidRPr="00B83BCC">
              <w:rPr>
                <w:rFonts w:ascii="Times New Roman" w:eastAsia="Times New Roman" w:hAnsi="Times New Roman" w:cs="Times New Roman"/>
                <w:color w:val="000000"/>
                <w:sz w:val="24"/>
                <w:szCs w:val="24"/>
                <w:vertAlign w:val="superscript"/>
              </w:rPr>
              <w:t>d</w:t>
            </w:r>
          </w:p>
        </w:tc>
        <w:tc>
          <w:tcPr>
            <w:tcW w:w="276" w:type="dxa"/>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p>
        </w:tc>
      </w:tr>
      <w:tr w:rsidR="00AA4CDF" w:rsidRPr="00B83BCC" w:rsidTr="001C4CA1">
        <w:trPr>
          <w:trHeight w:val="324"/>
        </w:trPr>
        <w:tc>
          <w:tcPr>
            <w:tcW w:w="2790" w:type="dxa"/>
            <w:tcBorders>
              <w:top w:val="nil"/>
              <w:left w:val="nil"/>
              <w:bottom w:val="single" w:sz="4" w:space="0" w:color="auto"/>
              <w:right w:val="nil"/>
            </w:tcBorders>
            <w:noWrap/>
            <w:vAlign w:val="center"/>
            <w:hideMark/>
          </w:tcPr>
          <w:p w:rsidR="00AA4CDF" w:rsidRPr="00B83BCC" w:rsidRDefault="00AA4CDF" w:rsidP="001C4CA1">
            <w:pPr>
              <w:spacing w:line="480" w:lineRule="auto"/>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This study</w:t>
            </w:r>
          </w:p>
        </w:tc>
        <w:tc>
          <w:tcPr>
            <w:tcW w:w="1800"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1.80  ± 0.6, 4</w:t>
            </w:r>
          </w:p>
        </w:tc>
        <w:tc>
          <w:tcPr>
            <w:tcW w:w="1800"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0.7  ± 0.1, 6</w:t>
            </w:r>
          </w:p>
        </w:tc>
        <w:tc>
          <w:tcPr>
            <w:tcW w:w="1943"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xml:space="preserve">99% </w:t>
            </w:r>
            <w:proofErr w:type="spellStart"/>
            <w:r w:rsidRPr="00B83BCC">
              <w:rPr>
                <w:rFonts w:ascii="Times New Roman" w:eastAsia="Times New Roman" w:hAnsi="Times New Roman" w:cs="Times New Roman"/>
                <w:color w:val="000000"/>
                <w:sz w:val="24"/>
                <w:szCs w:val="24"/>
              </w:rPr>
              <w:t>LoCoH</w:t>
            </w:r>
            <w:proofErr w:type="spellEnd"/>
          </w:p>
        </w:tc>
        <w:tc>
          <w:tcPr>
            <w:tcW w:w="276"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c>
          <w:tcPr>
            <w:tcW w:w="1308"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1.01±0.1</w:t>
            </w:r>
          </w:p>
        </w:tc>
        <w:tc>
          <w:tcPr>
            <w:tcW w:w="2026"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SMR</w:t>
            </w:r>
          </w:p>
        </w:tc>
        <w:tc>
          <w:tcPr>
            <w:tcW w:w="276" w:type="dxa"/>
            <w:tcBorders>
              <w:top w:val="nil"/>
              <w:left w:val="nil"/>
              <w:bottom w:val="single" w:sz="4" w:space="0" w:color="auto"/>
              <w:right w:val="nil"/>
            </w:tcBorders>
            <w:noWrap/>
            <w:vAlign w:val="center"/>
            <w:hideMark/>
          </w:tcPr>
          <w:p w:rsidR="00AA4CDF" w:rsidRPr="00B83BCC" w:rsidRDefault="00AA4CDF" w:rsidP="001C4CA1">
            <w:pPr>
              <w:spacing w:line="480" w:lineRule="auto"/>
              <w:jc w:val="center"/>
              <w:rPr>
                <w:rFonts w:ascii="Times New Roman" w:eastAsia="Times New Roman" w:hAnsi="Times New Roman" w:cs="Times New Roman"/>
                <w:color w:val="000000"/>
                <w:sz w:val="24"/>
                <w:szCs w:val="24"/>
              </w:rPr>
            </w:pPr>
            <w:r w:rsidRPr="00B83BCC">
              <w:rPr>
                <w:rFonts w:ascii="Times New Roman" w:eastAsia="Times New Roman" w:hAnsi="Times New Roman" w:cs="Times New Roman"/>
                <w:color w:val="000000"/>
                <w:sz w:val="24"/>
                <w:szCs w:val="24"/>
              </w:rPr>
              <w:t> </w:t>
            </w:r>
          </w:p>
        </w:tc>
      </w:tr>
    </w:tbl>
    <w:p w:rsidR="00AA4CDF" w:rsidRPr="00B83BCC" w:rsidRDefault="00AA4CDF" w:rsidP="00AA4CDF">
      <w:pPr>
        <w:spacing w:line="480" w:lineRule="auto"/>
        <w:rPr>
          <w:rFonts w:ascii="Times New Roman" w:hAnsi="Times New Roman" w:cs="Times New Roman"/>
          <w:sz w:val="24"/>
          <w:szCs w:val="24"/>
        </w:rPr>
      </w:pPr>
      <w:proofErr w:type="spellStart"/>
      <w:proofErr w:type="gramStart"/>
      <w:r w:rsidRPr="00B83BCC">
        <w:rPr>
          <w:rFonts w:ascii="Times New Roman" w:hAnsi="Times New Roman" w:cs="Times New Roman"/>
          <w:sz w:val="24"/>
          <w:szCs w:val="24"/>
          <w:vertAlign w:val="superscript"/>
        </w:rPr>
        <w:t>a</w:t>
      </w:r>
      <w:r w:rsidRPr="00B83BCC">
        <w:rPr>
          <w:rFonts w:ascii="Times New Roman" w:hAnsi="Times New Roman" w:cs="Times New Roman"/>
          <w:sz w:val="24"/>
          <w:szCs w:val="24"/>
        </w:rPr>
        <w:t>Forest</w:t>
      </w:r>
      <w:proofErr w:type="spellEnd"/>
      <w:proofErr w:type="gramEnd"/>
      <w:r w:rsidRPr="00B83BCC">
        <w:rPr>
          <w:rFonts w:ascii="Times New Roman" w:hAnsi="Times New Roman" w:cs="Times New Roman"/>
          <w:sz w:val="24"/>
          <w:szCs w:val="24"/>
        </w:rPr>
        <w:t xml:space="preserve"> reserve</w:t>
      </w:r>
    </w:p>
    <w:p w:rsidR="00AA4CDF" w:rsidRPr="00B83BCC" w:rsidRDefault="00AA4CDF" w:rsidP="00AA4CDF">
      <w:pPr>
        <w:spacing w:line="480" w:lineRule="auto"/>
        <w:rPr>
          <w:rFonts w:ascii="Times New Roman" w:hAnsi="Times New Roman" w:cs="Times New Roman"/>
          <w:sz w:val="24"/>
          <w:szCs w:val="24"/>
        </w:rPr>
      </w:pPr>
      <w:proofErr w:type="spellStart"/>
      <w:proofErr w:type="gramStart"/>
      <w:r w:rsidRPr="00B83BCC">
        <w:rPr>
          <w:rFonts w:ascii="Times New Roman" w:hAnsi="Times New Roman" w:cs="Times New Roman"/>
          <w:sz w:val="24"/>
          <w:szCs w:val="24"/>
          <w:vertAlign w:val="superscript"/>
        </w:rPr>
        <w:t>b</w:t>
      </w:r>
      <w:r w:rsidRPr="00B83BCC">
        <w:rPr>
          <w:rFonts w:ascii="Times New Roman" w:hAnsi="Times New Roman" w:cs="Times New Roman"/>
          <w:sz w:val="24"/>
          <w:szCs w:val="24"/>
        </w:rPr>
        <w:t>Trapped</w:t>
      </w:r>
      <w:proofErr w:type="spellEnd"/>
      <w:proofErr w:type="gramEnd"/>
      <w:r w:rsidRPr="00B83BCC">
        <w:rPr>
          <w:rFonts w:ascii="Times New Roman" w:hAnsi="Times New Roman" w:cs="Times New Roman"/>
          <w:sz w:val="24"/>
          <w:szCs w:val="24"/>
        </w:rPr>
        <w:t xml:space="preserve"> industrial</w:t>
      </w:r>
    </w:p>
    <w:p w:rsidR="00AA4CDF" w:rsidRPr="00B83BCC" w:rsidRDefault="00AA4CDF" w:rsidP="00AA4CDF">
      <w:pPr>
        <w:spacing w:line="480" w:lineRule="auto"/>
        <w:rPr>
          <w:rFonts w:ascii="Times New Roman" w:hAnsi="Times New Roman" w:cs="Times New Roman"/>
          <w:sz w:val="24"/>
          <w:szCs w:val="24"/>
        </w:rPr>
      </w:pPr>
      <w:proofErr w:type="spellStart"/>
      <w:proofErr w:type="gramStart"/>
      <w:r w:rsidRPr="00B83BCC">
        <w:rPr>
          <w:rFonts w:ascii="Times New Roman" w:hAnsi="Times New Roman" w:cs="Times New Roman"/>
          <w:sz w:val="24"/>
          <w:szCs w:val="24"/>
          <w:vertAlign w:val="superscript"/>
        </w:rPr>
        <w:t>c</w:t>
      </w:r>
      <w:r w:rsidRPr="00B83BCC">
        <w:rPr>
          <w:rFonts w:ascii="Times New Roman" w:hAnsi="Times New Roman" w:cs="Times New Roman"/>
          <w:sz w:val="24"/>
          <w:szCs w:val="24"/>
        </w:rPr>
        <w:t>Untrapped</w:t>
      </w:r>
      <w:proofErr w:type="spellEnd"/>
      <w:proofErr w:type="gramEnd"/>
      <w:r w:rsidRPr="00B83BCC">
        <w:rPr>
          <w:rFonts w:ascii="Times New Roman" w:hAnsi="Times New Roman" w:cs="Times New Roman"/>
          <w:sz w:val="24"/>
          <w:szCs w:val="24"/>
        </w:rPr>
        <w:t xml:space="preserve"> industrial</w:t>
      </w:r>
    </w:p>
    <w:p w:rsidR="00AA4CDF" w:rsidRPr="002D3EBA" w:rsidRDefault="00AA4CDF" w:rsidP="00AA4CDF">
      <w:pPr>
        <w:spacing w:line="480" w:lineRule="auto"/>
        <w:rPr>
          <w:rFonts w:ascii="Times New Roman" w:hAnsi="Times New Roman" w:cs="Times New Roman"/>
          <w:sz w:val="24"/>
          <w:szCs w:val="24"/>
        </w:rPr>
      </w:pPr>
      <w:proofErr w:type="spellStart"/>
      <w:proofErr w:type="gramStart"/>
      <w:r w:rsidRPr="00B83BCC">
        <w:rPr>
          <w:rFonts w:ascii="Times New Roman" w:hAnsi="Times New Roman" w:cs="Times New Roman"/>
          <w:sz w:val="24"/>
          <w:szCs w:val="24"/>
          <w:vertAlign w:val="superscript"/>
        </w:rPr>
        <w:t>d</w:t>
      </w:r>
      <w:r w:rsidRPr="00B83BCC">
        <w:rPr>
          <w:rFonts w:ascii="Times New Roman" w:hAnsi="Times New Roman" w:cs="Times New Roman"/>
          <w:sz w:val="24"/>
          <w:szCs w:val="24"/>
        </w:rPr>
        <w:t>Estimator</w:t>
      </w:r>
      <w:proofErr w:type="spellEnd"/>
      <w:proofErr w:type="gramEnd"/>
      <w:r w:rsidRPr="00B83BCC">
        <w:rPr>
          <w:rFonts w:ascii="Times New Roman" w:hAnsi="Times New Roman" w:cs="Times New Roman"/>
          <w:sz w:val="24"/>
          <w:szCs w:val="24"/>
        </w:rPr>
        <w:t xml:space="preserve"> was unreported</w:t>
      </w:r>
    </w:p>
    <w:p w:rsidR="00AA4CDF" w:rsidRPr="002D3EBA" w:rsidRDefault="00AA4CDF" w:rsidP="00AA4CDF">
      <w:pPr>
        <w:spacing w:line="480" w:lineRule="auto"/>
        <w:rPr>
          <w:rFonts w:ascii="Times New Roman" w:hAnsi="Times New Roman" w:cs="Times New Roman"/>
          <w:sz w:val="24"/>
          <w:szCs w:val="24"/>
        </w:rPr>
      </w:pPr>
    </w:p>
    <w:p w:rsidR="00AA4CDF" w:rsidRPr="002D3EBA" w:rsidRDefault="00AA4CDF" w:rsidP="00AA4CDF">
      <w:pPr>
        <w:spacing w:line="480" w:lineRule="auto"/>
        <w:rPr>
          <w:rFonts w:ascii="Times New Roman" w:hAnsi="Times New Roman" w:cs="Times New Roman"/>
          <w:sz w:val="24"/>
          <w:szCs w:val="24"/>
        </w:rPr>
      </w:pPr>
    </w:p>
    <w:p w:rsidR="002D21CC" w:rsidRDefault="002D21CC"/>
    <w:sectPr w:rsidR="002D21CC" w:rsidSect="00552A3C">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DF"/>
    <w:rsid w:val="00203ADC"/>
    <w:rsid w:val="002D21CC"/>
    <w:rsid w:val="004A3E69"/>
    <w:rsid w:val="009C7F77"/>
    <w:rsid w:val="00AA4CDF"/>
    <w:rsid w:val="00D71004"/>
    <w:rsid w:val="00FC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73B26-8945-458E-9D2B-C6230A11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C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A4CDF"/>
  </w:style>
  <w:style w:type="paragraph" w:styleId="NoSpacing">
    <w:name w:val="No Spacing"/>
    <w:qFormat/>
    <w:rsid w:val="00AA4CDF"/>
    <w:pPr>
      <w:spacing w:after="0" w:line="240" w:lineRule="auto"/>
    </w:pPr>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Katie -FS</dc:creator>
  <cp:keywords/>
  <dc:description/>
  <cp:lastModifiedBy>Moriarty, Katie -FS</cp:lastModifiedBy>
  <cp:revision>2</cp:revision>
  <dcterms:created xsi:type="dcterms:W3CDTF">2017-09-12T19:41:00Z</dcterms:created>
  <dcterms:modified xsi:type="dcterms:W3CDTF">2017-09-12T19:41:00Z</dcterms:modified>
</cp:coreProperties>
</file>