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09B29" w14:textId="630942A1" w:rsidR="00483FEC" w:rsidRDefault="00483FEC" w:rsidP="00483FEC">
      <w:pPr>
        <w:pStyle w:val="BodyText"/>
        <w:adjustRightInd w:val="0"/>
        <w:jc w:val="left"/>
        <w:rPr>
          <w:rFonts w:eastAsia="Arial Unicode MS"/>
          <w:bCs/>
          <w:kern w:val="0"/>
        </w:rPr>
      </w:pPr>
      <w:r w:rsidRPr="002630AE">
        <w:rPr>
          <w:rFonts w:eastAsia="Arial Unicode MS"/>
          <w:b/>
          <w:bCs/>
          <w:kern w:val="0"/>
        </w:rPr>
        <w:t>Table S</w:t>
      </w:r>
      <w:r>
        <w:rPr>
          <w:rFonts w:eastAsia="Arial Unicode MS"/>
          <w:b/>
          <w:bCs/>
          <w:kern w:val="0"/>
        </w:rPr>
        <w:t>2</w:t>
      </w:r>
      <w:r w:rsidRPr="002630AE">
        <w:rPr>
          <w:rFonts w:eastAsia="Arial Unicode MS"/>
          <w:b/>
          <w:bCs/>
          <w:kern w:val="0"/>
        </w:rPr>
        <w:t>. Peptide sequences</w:t>
      </w:r>
      <w:r>
        <w:rPr>
          <w:rFonts w:eastAsia="Arial Unicode MS"/>
          <w:b/>
          <w:bCs/>
          <w:kern w:val="0"/>
        </w:rPr>
        <w:t xml:space="preserve"> for the differentially expressed proteins (DEPs) identified at the 4-week sampling time</w:t>
      </w:r>
      <w:r w:rsidRPr="002630AE">
        <w:rPr>
          <w:rFonts w:eastAsia="Arial Unicode MS"/>
          <w:bCs/>
          <w:kern w:val="0"/>
        </w:rPr>
        <w:t xml:space="preserve">. The </w:t>
      </w:r>
      <w:r>
        <w:rPr>
          <w:rFonts w:eastAsia="Arial Unicode MS"/>
          <w:bCs/>
          <w:kern w:val="0"/>
        </w:rPr>
        <w:t>8</w:t>
      </w:r>
      <w:r w:rsidRPr="002630AE">
        <w:rPr>
          <w:rFonts w:eastAsia="Arial Unicode MS"/>
          <w:bCs/>
          <w:kern w:val="0"/>
        </w:rPr>
        <w:t xml:space="preserve"> and </w:t>
      </w:r>
      <w:r>
        <w:rPr>
          <w:rFonts w:eastAsia="Arial Unicode MS"/>
          <w:bCs/>
          <w:kern w:val="0"/>
        </w:rPr>
        <w:t>4</w:t>
      </w:r>
      <w:r w:rsidRPr="002630AE">
        <w:rPr>
          <w:rFonts w:eastAsia="Arial Unicode MS"/>
          <w:bCs/>
          <w:kern w:val="0"/>
        </w:rPr>
        <w:t xml:space="preserve"> proteins over-expressed after </w:t>
      </w:r>
      <w:r>
        <w:rPr>
          <w:rFonts w:eastAsia="Arial Unicode MS"/>
          <w:bCs/>
          <w:kern w:val="0"/>
        </w:rPr>
        <w:t>four</w:t>
      </w:r>
      <w:r w:rsidRPr="002630AE">
        <w:rPr>
          <w:rFonts w:eastAsia="Arial Unicode MS"/>
          <w:bCs/>
          <w:kern w:val="0"/>
        </w:rPr>
        <w:t xml:space="preserve"> weeks by samples of the control </w:t>
      </w:r>
      <w:r>
        <w:rPr>
          <w:rFonts w:eastAsia="Arial Unicode MS"/>
          <w:bCs/>
          <w:kern w:val="0"/>
        </w:rPr>
        <w:t xml:space="preserve">(C) </w:t>
      </w:r>
      <w:r w:rsidRPr="002630AE">
        <w:rPr>
          <w:rFonts w:eastAsia="Arial Unicode MS"/>
          <w:bCs/>
          <w:kern w:val="0"/>
        </w:rPr>
        <w:t xml:space="preserve">and high temperature </w:t>
      </w:r>
      <w:r>
        <w:rPr>
          <w:rFonts w:eastAsia="Arial Unicode MS"/>
          <w:bCs/>
          <w:kern w:val="0"/>
        </w:rPr>
        <w:t xml:space="preserve">(H) </w:t>
      </w:r>
      <w:r w:rsidRPr="002630AE">
        <w:rPr>
          <w:rFonts w:eastAsia="Arial Unicode MS"/>
          <w:bCs/>
          <w:kern w:val="0"/>
        </w:rPr>
        <w:t>treatment</w:t>
      </w:r>
      <w:r>
        <w:rPr>
          <w:rFonts w:eastAsia="Arial Unicode MS"/>
          <w:bCs/>
          <w:kern w:val="0"/>
        </w:rPr>
        <w:t>s</w:t>
      </w:r>
      <w:r w:rsidRPr="002630AE">
        <w:rPr>
          <w:rFonts w:eastAsia="Arial Unicode MS"/>
          <w:bCs/>
          <w:kern w:val="0"/>
        </w:rPr>
        <w:t xml:space="preserve">, respectively, were included. Additional details of the sequenced proteins can be found in the main text (Table </w:t>
      </w:r>
      <w:r>
        <w:rPr>
          <w:rFonts w:eastAsia="Arial Unicode MS"/>
          <w:bCs/>
          <w:kern w:val="0"/>
        </w:rPr>
        <w:t>3</w:t>
      </w:r>
      <w:r w:rsidRPr="002630AE">
        <w:rPr>
          <w:rFonts w:eastAsia="Arial Unicode MS"/>
          <w:bCs/>
          <w:kern w:val="0"/>
        </w:rPr>
        <w:t xml:space="preserve">). </w:t>
      </w:r>
      <w:r w:rsidR="00D63ABA">
        <w:rPr>
          <w:rFonts w:eastAsia="Arial Unicode MS"/>
          <w:bCs/>
          <w:kern w:val="0"/>
        </w:rPr>
        <w:t>No unique DEPs were i</w:t>
      </w:r>
      <w:bookmarkStart w:id="0" w:name="_GoBack"/>
      <w:bookmarkEnd w:id="0"/>
      <w:r>
        <w:rPr>
          <w:rFonts w:eastAsia="Arial Unicode MS"/>
          <w:bCs/>
          <w:kern w:val="0"/>
        </w:rPr>
        <w:t xml:space="preserve">dentified from spots H5 and H6. </w:t>
      </w:r>
      <w:r w:rsidRPr="002630AE">
        <w:rPr>
          <w:rFonts w:eastAsia="Arial Unicode MS"/>
          <w:bCs/>
          <w:kern w:val="0"/>
        </w:rPr>
        <w:t xml:space="preserve">The compartment of origin has been </w:t>
      </w:r>
      <w:r>
        <w:rPr>
          <w:rFonts w:eastAsia="Arial Unicode MS"/>
          <w:bCs/>
          <w:kern w:val="0"/>
        </w:rPr>
        <w:t>included</w:t>
      </w:r>
      <w:r w:rsidRPr="002630AE">
        <w:rPr>
          <w:rFonts w:eastAsia="Arial Unicode MS"/>
          <w:bCs/>
          <w:kern w:val="0"/>
        </w:rPr>
        <w:t xml:space="preserve"> next to the spot number. </w:t>
      </w:r>
      <w:r>
        <w:rPr>
          <w:rFonts w:eastAsia="Arial Unicode MS"/>
          <w:bCs/>
          <w:kern w:val="0"/>
        </w:rPr>
        <w:t>Sym=</w:t>
      </w:r>
      <w:r w:rsidRPr="0006724E">
        <w:rPr>
          <w:rFonts w:eastAsia="Arial Unicode MS"/>
          <w:bCs/>
          <w:i/>
          <w:kern w:val="0"/>
        </w:rPr>
        <w:t>Symbiodinium</w:t>
      </w:r>
      <w:r>
        <w:rPr>
          <w:rFonts w:eastAsia="Arial Unicode MS"/>
          <w:bCs/>
          <w:kern w:val="0"/>
        </w:rPr>
        <w:t>.</w:t>
      </w:r>
    </w:p>
    <w:p w14:paraId="128D6351" w14:textId="77777777" w:rsidR="00647D7A" w:rsidRPr="002630AE" w:rsidRDefault="00647D7A" w:rsidP="00483FEC">
      <w:pPr>
        <w:pStyle w:val="BodyText"/>
        <w:adjustRightInd w:val="0"/>
        <w:jc w:val="left"/>
        <w:rPr>
          <w:rFonts w:eastAsia="Arial Unicode MS"/>
          <w:bCs/>
          <w:kern w:val="0"/>
        </w:rPr>
      </w:pPr>
    </w:p>
    <w:tbl>
      <w:tblPr>
        <w:tblW w:w="1786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5670"/>
        <w:gridCol w:w="2835"/>
        <w:gridCol w:w="2268"/>
        <w:gridCol w:w="2268"/>
      </w:tblGrid>
      <w:tr w:rsidR="00483FEC" w:rsidRPr="00DB76E0" w14:paraId="74CC8C16" w14:textId="77777777" w:rsidTr="00647D7A">
        <w:trPr>
          <w:gridAfter w:val="1"/>
          <w:wAfter w:w="2268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7D1B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Spot(s)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581FE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Protein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8DAAC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Sequence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9B374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Function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6411B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/>
                <w:bCs/>
                <w:kern w:val="0"/>
                <w:sz w:val="22"/>
                <w:szCs w:val="22"/>
              </w:rPr>
              <w:t>Notes</w:t>
            </w:r>
          </w:p>
        </w:tc>
      </w:tr>
      <w:tr w:rsidR="00483FEC" w:rsidRPr="00DB76E0" w14:paraId="7A6A1DC9" w14:textId="77777777" w:rsidTr="00647D7A">
        <w:trPr>
          <w:gridAfter w:val="1"/>
          <w:wAfter w:w="2268" w:type="dxa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6271BAE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C1-host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5DCD70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pentraxin</w:t>
            </w:r>
            <w:r w:rsidRPr="0011068B">
              <w:rPr>
                <w:rFonts w:eastAsia="Arial Unicode MS"/>
                <w:bCs/>
                <w:kern w:val="0"/>
                <w:vertAlign w:val="superscript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EF263" w14:textId="77777777" w:rsidR="00483FEC" w:rsidRPr="00CD3C2F" w:rsidRDefault="00483FEC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FWIDGEVVGSGSDLYK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EC5C2B7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immunity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CBBEF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483FEC" w:rsidRPr="00DB76E0" w14:paraId="3113C4AB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5405A53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14:paraId="77A069A0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60010ADF" w14:textId="77777777" w:rsidR="00483FEC" w:rsidRPr="00CD3C2F" w:rsidRDefault="00483FEC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GGTVVIGQDQDEVGGDFDPR</w:t>
            </w:r>
          </w:p>
        </w:tc>
        <w:tc>
          <w:tcPr>
            <w:tcW w:w="2835" w:type="dxa"/>
            <w:shd w:val="clear" w:color="auto" w:fill="auto"/>
          </w:tcPr>
          <w:p w14:paraId="230AEEA5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71FD6A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68C04EB7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5E6CA305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C1-host</w:t>
            </w:r>
          </w:p>
        </w:tc>
        <w:tc>
          <w:tcPr>
            <w:tcW w:w="3828" w:type="dxa"/>
            <w:shd w:val="clear" w:color="auto" w:fill="auto"/>
          </w:tcPr>
          <w:p w14:paraId="08B6DAED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trichohyalin</w:t>
            </w:r>
            <w:r w:rsidRPr="0011068B">
              <w:rPr>
                <w:rFonts w:eastAsia="Times New Roman"/>
                <w:color w:val="000000"/>
                <w:kern w:val="0"/>
                <w:vertAlign w:val="superscript"/>
                <w:lang w:eastAsia="en-US"/>
              </w:rPr>
              <w:t>b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9F95CFC" w14:textId="77777777" w:rsidR="00483FEC" w:rsidRPr="00CD3C2F" w:rsidRDefault="00483FEC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RRRRRRRRRRRRKLRRYGRRRPRRGRRRRRGRRGRR</w:t>
            </w:r>
          </w:p>
          <w:p w14:paraId="1E7113CE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117AA8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structural</w:t>
            </w:r>
          </w:p>
        </w:tc>
        <w:tc>
          <w:tcPr>
            <w:tcW w:w="2268" w:type="dxa"/>
            <w:shd w:val="clear" w:color="auto" w:fill="auto"/>
          </w:tcPr>
          <w:p w14:paraId="009B816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483FEC" w:rsidRPr="00DB76E0" w14:paraId="13DC6FA2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3498BDD1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C1-host</w:t>
            </w:r>
          </w:p>
        </w:tc>
        <w:tc>
          <w:tcPr>
            <w:tcW w:w="3828" w:type="dxa"/>
            <w:shd w:val="clear" w:color="auto" w:fill="auto"/>
          </w:tcPr>
          <w:p w14:paraId="62B6B91D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plexin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6E8849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LCQEDEVYSSYMELPLDCK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133AD1B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signal tranduction/ reception</w:t>
            </w:r>
          </w:p>
        </w:tc>
        <w:tc>
          <w:tcPr>
            <w:tcW w:w="2268" w:type="dxa"/>
            <w:shd w:val="clear" w:color="auto" w:fill="auto"/>
          </w:tcPr>
          <w:p w14:paraId="6684E89B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500AEFFC" w14:textId="77777777" w:rsidTr="00647D7A">
        <w:trPr>
          <w:gridAfter w:val="1"/>
          <w:wAfter w:w="2268" w:type="dxa"/>
          <w:trHeight w:val="84"/>
        </w:trPr>
        <w:tc>
          <w:tcPr>
            <w:tcW w:w="992" w:type="dxa"/>
            <w:shd w:val="clear" w:color="auto" w:fill="auto"/>
          </w:tcPr>
          <w:p w14:paraId="0AB34DDB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BBE804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764C2D0F" w14:textId="77777777" w:rsidR="00483FEC" w:rsidRPr="00CD3C2F" w:rsidRDefault="00483FEC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FFCDFSMEHSQEFDGDSALQELYDYVR</w:t>
            </w:r>
          </w:p>
        </w:tc>
        <w:tc>
          <w:tcPr>
            <w:tcW w:w="2835" w:type="dxa"/>
            <w:vMerge/>
            <w:shd w:val="clear" w:color="auto" w:fill="auto"/>
          </w:tcPr>
          <w:p w14:paraId="63698FA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B91FEF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36D3A2A3" w14:textId="77777777" w:rsidTr="00647D7A">
        <w:trPr>
          <w:gridAfter w:val="1"/>
          <w:wAfter w:w="2268" w:type="dxa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EA5806C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C2-host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3E3C7BF6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avidin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6C6635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GLYANGAPGSEVLLEK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699D0ED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reproduction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5F0ED7C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0C5B550A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701312F7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6CB8013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67FD1392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DVPATLGFVVNFEGGK</w:t>
            </w:r>
          </w:p>
        </w:tc>
        <w:tc>
          <w:tcPr>
            <w:tcW w:w="2835" w:type="dxa"/>
            <w:shd w:val="clear" w:color="auto" w:fill="auto"/>
          </w:tcPr>
          <w:p w14:paraId="72E4AA7E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96D978A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0B7365D6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26DA142F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C2-host</w:t>
            </w:r>
          </w:p>
        </w:tc>
        <w:tc>
          <w:tcPr>
            <w:tcW w:w="3828" w:type="dxa"/>
            <w:shd w:val="clear" w:color="auto" w:fill="auto"/>
          </w:tcPr>
          <w:p w14:paraId="174527B8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53116CBF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FCDLEDRVFEKQQSRK</w:t>
            </w:r>
          </w:p>
        </w:tc>
        <w:tc>
          <w:tcPr>
            <w:tcW w:w="2835" w:type="dxa"/>
            <w:shd w:val="clear" w:color="auto" w:fill="auto"/>
          </w:tcPr>
          <w:p w14:paraId="5E85D05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2268" w:type="dxa"/>
            <w:shd w:val="clear" w:color="auto" w:fill="auto"/>
          </w:tcPr>
          <w:p w14:paraId="4E96D4ED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2B91A0DE" w14:textId="77777777" w:rsidTr="00647D7A">
        <w:trPr>
          <w:gridAfter w:val="1"/>
          <w:wAfter w:w="2268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167F22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B1824A1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1EFD5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MRPSTCPTSSS RWNR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49A92D2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8FF7753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03349E83" w14:textId="77777777" w:rsidTr="00647D7A">
        <w:trPr>
          <w:gridAfter w:val="1"/>
          <w:wAfter w:w="2268" w:type="dxa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CD525D7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C3-Sym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68195DA1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chloroplast oxygen-evolving enhancer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29CFFE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SFAVEIDTDNGKEFATTK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F1D0955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photosynthesis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FBD55A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3A2C1774" w14:textId="77777777" w:rsidTr="00647D7A">
        <w:trPr>
          <w:gridAfter w:val="1"/>
          <w:wAfter w:w="2268" w:type="dxa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B1BFA4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0211A4F7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F24C8D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VNQELGEIGGVFVSK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F6FBF9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64398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7A402E6A" w14:textId="77777777" w:rsidTr="00647D7A">
        <w:trPr>
          <w:gridAfter w:val="1"/>
          <w:wAfter w:w="2268" w:type="dxa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88C92EF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C4-host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53EDB3D7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actin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1910DA" w14:textId="77777777" w:rsidR="00483FEC" w:rsidRPr="00CD3C2F" w:rsidRDefault="00483FEC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FEQEMATAAASTSLEKSYELPDGQVITIGNER</w:t>
            </w:r>
          </w:p>
          <w:p w14:paraId="19A85B8E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ACD20B0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cytoskeleton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A6BF26D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483FEC" w:rsidRPr="00DB76E0" w14:paraId="307131F4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0B418B27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C4-host</w:t>
            </w:r>
          </w:p>
        </w:tc>
        <w:tc>
          <w:tcPr>
            <w:tcW w:w="3828" w:type="dxa"/>
            <w:shd w:val="clear" w:color="auto" w:fill="auto"/>
          </w:tcPr>
          <w:p w14:paraId="6C840758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actin (different from previous paralog)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01AB34E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AVFPSIVGR</w:t>
            </w:r>
          </w:p>
        </w:tc>
        <w:tc>
          <w:tcPr>
            <w:tcW w:w="2835" w:type="dxa"/>
            <w:shd w:val="clear" w:color="auto" w:fill="auto"/>
          </w:tcPr>
          <w:p w14:paraId="3B5D8663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cytoskeleton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DF94FA5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  <w:tr w:rsidR="00483FEC" w:rsidRPr="00DB76E0" w14:paraId="44207A00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01961C4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6C7CA4C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69A8C523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VAPEEHPVLLTEAPLNPK</w:t>
            </w:r>
          </w:p>
        </w:tc>
        <w:tc>
          <w:tcPr>
            <w:tcW w:w="2835" w:type="dxa"/>
            <w:shd w:val="clear" w:color="auto" w:fill="auto"/>
          </w:tcPr>
          <w:p w14:paraId="0A9FBAF1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D36041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0C1277D4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2CF52A6B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4690B3C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5CE0D7C2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GYSFTTTAER</w:t>
            </w:r>
          </w:p>
        </w:tc>
        <w:tc>
          <w:tcPr>
            <w:tcW w:w="2835" w:type="dxa"/>
            <w:shd w:val="clear" w:color="auto" w:fill="auto"/>
          </w:tcPr>
          <w:p w14:paraId="38C21AF3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909E38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1F79E566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3B8BBD4F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AEA4980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0912B07C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FTTTAER</w:t>
            </w:r>
          </w:p>
        </w:tc>
        <w:tc>
          <w:tcPr>
            <w:tcW w:w="2835" w:type="dxa"/>
            <w:shd w:val="clear" w:color="auto" w:fill="auto"/>
          </w:tcPr>
          <w:p w14:paraId="2D0937A0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A7BFE7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44C39B20" w14:textId="77777777" w:rsidTr="00647D7A">
        <w:trPr>
          <w:gridAfter w:val="1"/>
          <w:wAfter w:w="2268" w:type="dxa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26243C9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H7-host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CF45AB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RNA-directed DNA polymerase from mobile element jockey-like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B08E2E" w14:textId="77777777" w:rsidR="00483FEC" w:rsidRPr="00CD3C2F" w:rsidRDefault="00483FEC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WLRHRNVVLVGDFNSDYFR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04B6B7A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gene expression/splicing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8670F53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483FEC" w:rsidRPr="00DB76E0" w14:paraId="33D4771B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1F22E867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93A7FBA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7442C0E8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GHSTELLLVKITDDWR</w:t>
            </w:r>
          </w:p>
        </w:tc>
        <w:tc>
          <w:tcPr>
            <w:tcW w:w="2835" w:type="dxa"/>
            <w:shd w:val="clear" w:color="auto" w:fill="auto"/>
          </w:tcPr>
          <w:p w14:paraId="3FEF8948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725284" w14:textId="77777777" w:rsidR="00483FEC" w:rsidRPr="00CD3C2F" w:rsidRDefault="00483FEC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647D7A" w:rsidRPr="00DB76E0" w14:paraId="30DAD665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78EA28E3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H7-Sym</w:t>
            </w:r>
          </w:p>
        </w:tc>
        <w:tc>
          <w:tcPr>
            <w:tcW w:w="3828" w:type="dxa"/>
            <w:shd w:val="clear" w:color="auto" w:fill="auto"/>
          </w:tcPr>
          <w:p w14:paraId="4A2F83C0" w14:textId="77777777" w:rsidR="00647D7A" w:rsidRPr="00CD3C2F" w:rsidRDefault="00647D7A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proofErr w:type="gramStart"/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peridinin</w:t>
            </w:r>
            <w:proofErr w:type="gramEnd"/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-chlorophyll A binding protein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BDE3D2F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KLGDASYSFAK</w:t>
            </w:r>
          </w:p>
        </w:tc>
        <w:tc>
          <w:tcPr>
            <w:tcW w:w="2835" w:type="dxa"/>
            <w:shd w:val="clear" w:color="auto" w:fill="auto"/>
          </w:tcPr>
          <w:p w14:paraId="37DE0526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photosynthesis</w:t>
            </w:r>
          </w:p>
        </w:tc>
        <w:tc>
          <w:tcPr>
            <w:tcW w:w="2268" w:type="dxa"/>
            <w:shd w:val="clear" w:color="auto" w:fill="auto"/>
          </w:tcPr>
          <w:p w14:paraId="5B784ACF" w14:textId="77777777" w:rsidR="00647D7A" w:rsidRPr="00CD3C2F" w:rsidRDefault="00647D7A" w:rsidP="004C4C93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multiple peptide</w:t>
            </w:r>
          </w:p>
        </w:tc>
      </w:tr>
      <w:tr w:rsidR="00647D7A" w:rsidRPr="00DB76E0" w14:paraId="7653EE50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565FA972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EF46291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70761A95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LLKDAAEAHHKAIGSISGPNGVTSR</w:t>
            </w:r>
          </w:p>
        </w:tc>
        <w:tc>
          <w:tcPr>
            <w:tcW w:w="2835" w:type="dxa"/>
            <w:shd w:val="clear" w:color="auto" w:fill="auto"/>
          </w:tcPr>
          <w:p w14:paraId="7DE6B206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487F9A" w14:textId="77777777" w:rsidR="00647D7A" w:rsidRPr="00CD3C2F" w:rsidRDefault="00647D7A" w:rsidP="004C4C93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 xml:space="preserve">sequences </w:t>
            </w:r>
          </w:p>
        </w:tc>
      </w:tr>
      <w:tr w:rsidR="00647D7A" w:rsidRPr="00DB76E0" w14:paraId="50116390" w14:textId="77777777" w:rsidTr="00647D7A">
        <w:trPr>
          <w:trHeight w:val="200"/>
        </w:trPr>
        <w:tc>
          <w:tcPr>
            <w:tcW w:w="992" w:type="dxa"/>
            <w:shd w:val="clear" w:color="auto" w:fill="auto"/>
          </w:tcPr>
          <w:p w14:paraId="0CEA7C2F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AAADA23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277F39FF" w14:textId="77777777" w:rsidR="00647D7A" w:rsidRPr="001B1DE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1"/>
                <w:szCs w:val="21"/>
              </w:rPr>
            </w:pPr>
            <w:r w:rsidRPr="001B1DEF">
              <w:rPr>
                <w:rFonts w:eastAsia="Times New Roman"/>
                <w:color w:val="000000"/>
                <w:sz w:val="21"/>
                <w:szCs w:val="21"/>
              </w:rPr>
              <w:t>SLVNGPDAEKAYQGFLEFKDVVEKNQVATASAPAVVPSGDKIGEAAKALSDASYPFIK</w:t>
            </w:r>
          </w:p>
        </w:tc>
        <w:tc>
          <w:tcPr>
            <w:tcW w:w="2268" w:type="dxa"/>
            <w:shd w:val="clear" w:color="auto" w:fill="auto"/>
          </w:tcPr>
          <w:p w14:paraId="56E0B7D6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>
              <w:rPr>
                <w:rFonts w:eastAsia="Arial Unicode MS"/>
                <w:bCs/>
                <w:kern w:val="0"/>
                <w:sz w:val="22"/>
                <w:szCs w:val="22"/>
              </w:rPr>
              <w:t>overlapped</w:t>
            </w:r>
          </w:p>
        </w:tc>
        <w:tc>
          <w:tcPr>
            <w:tcW w:w="2268" w:type="dxa"/>
          </w:tcPr>
          <w:p w14:paraId="05F98289" w14:textId="77777777" w:rsidR="00647D7A" w:rsidRPr="00CD3C2F" w:rsidRDefault="00647D7A" w:rsidP="004C4C93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overlapped</w:t>
            </w:r>
          </w:p>
        </w:tc>
      </w:tr>
      <w:tr w:rsidR="00647D7A" w:rsidRPr="00DB76E0" w14:paraId="536486F2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46256214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3308025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6B0CDFB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AIGSIDATGVTSAADYEAVNAAIGR</w:t>
            </w:r>
          </w:p>
        </w:tc>
        <w:tc>
          <w:tcPr>
            <w:tcW w:w="2835" w:type="dxa"/>
            <w:shd w:val="clear" w:color="auto" w:fill="auto"/>
          </w:tcPr>
          <w:p w14:paraId="17DAD50D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2C1669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647D7A" w:rsidRPr="00DB76E0" w14:paraId="6F4074C2" w14:textId="77777777" w:rsidTr="00647D7A">
        <w:trPr>
          <w:gridAfter w:val="1"/>
          <w:wAfter w:w="2268" w:type="dxa"/>
          <w:trHeight w:val="7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99D2B8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235D0C1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67C3E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sz w:val="22"/>
                <w:szCs w:val="22"/>
              </w:rPr>
              <w:t>VNPLDAVAAAK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9292160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F24B52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647D7A" w:rsidRPr="00DB76E0" w14:paraId="3C821F59" w14:textId="77777777" w:rsidTr="00647D7A">
        <w:trPr>
          <w:gridAfter w:val="1"/>
          <w:wAfter w:w="2268" w:type="dxa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6CC2CDE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H8-host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E1F3D3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NF-kappa-B inhibitor-like protein 1 isoform X2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53C1D0" w14:textId="77777777" w:rsidR="00647D7A" w:rsidRPr="00CD3C2F" w:rsidRDefault="00647D7A" w:rsidP="00577B95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CD3C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EELEAERKERWHKEHEEK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C3F326F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immunity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F7EBF69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647D7A" w:rsidRPr="00DB76E0" w14:paraId="4BA3AAD8" w14:textId="77777777" w:rsidTr="00647D7A">
        <w:trPr>
          <w:gridAfter w:val="1"/>
          <w:wAfter w:w="2268" w:type="dxa"/>
        </w:trPr>
        <w:tc>
          <w:tcPr>
            <w:tcW w:w="992" w:type="dxa"/>
            <w:shd w:val="clear" w:color="auto" w:fill="auto"/>
          </w:tcPr>
          <w:p w14:paraId="66F96B14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98DBEA1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DD6CA3B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color w:val="000000"/>
                <w:sz w:val="22"/>
                <w:szCs w:val="22"/>
              </w:rPr>
              <w:t>ETYDEWADRITYERRQK</w:t>
            </w:r>
          </w:p>
        </w:tc>
        <w:tc>
          <w:tcPr>
            <w:tcW w:w="2835" w:type="dxa"/>
            <w:shd w:val="clear" w:color="auto" w:fill="auto"/>
          </w:tcPr>
          <w:p w14:paraId="5419058F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F72DC4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</w:p>
        </w:tc>
      </w:tr>
      <w:tr w:rsidR="00647D7A" w:rsidRPr="00DB76E0" w14:paraId="3D00AE72" w14:textId="77777777" w:rsidTr="00647D7A">
        <w:trPr>
          <w:gridAfter w:val="1"/>
          <w:wAfter w:w="2268" w:type="dxa"/>
          <w:trHeight w:val="25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DDF6DC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H8-host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3E544052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hypothetical protein</w:t>
            </w:r>
            <w:r w:rsidRPr="0011068B">
              <w:rPr>
                <w:rFonts w:eastAsia="Arial Unicode MS"/>
                <w:bCs/>
                <w:kern w:val="0"/>
                <w:vertAlign w:val="superscript"/>
              </w:rPr>
              <w:t>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13460EE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color w:val="000000"/>
                <w:sz w:val="22"/>
                <w:szCs w:val="22"/>
              </w:rPr>
              <w:t>KKKKKKRRRKKKRKKKEKKK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1776DD2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unknown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DBCBF39" w14:textId="77777777" w:rsidR="00647D7A" w:rsidRPr="00CD3C2F" w:rsidRDefault="00647D7A" w:rsidP="00577B95">
            <w:pPr>
              <w:pStyle w:val="BodyText"/>
              <w:adjustRightInd w:val="0"/>
              <w:jc w:val="left"/>
              <w:rPr>
                <w:rFonts w:eastAsia="Arial Unicode MS"/>
                <w:bCs/>
                <w:kern w:val="0"/>
                <w:sz w:val="22"/>
                <w:szCs w:val="22"/>
              </w:rPr>
            </w:pPr>
            <w:r w:rsidRPr="00CD3C2F">
              <w:rPr>
                <w:rFonts w:eastAsia="Arial Unicode MS"/>
                <w:bCs/>
                <w:kern w:val="0"/>
                <w:sz w:val="22"/>
                <w:szCs w:val="22"/>
              </w:rPr>
              <w:t>2 sequenced peptides overlapped</w:t>
            </w:r>
          </w:p>
        </w:tc>
      </w:tr>
    </w:tbl>
    <w:p w14:paraId="5E3122DB" w14:textId="77777777" w:rsidR="00AD0E7E" w:rsidRPr="00647D7A" w:rsidRDefault="00483FEC">
      <w:pPr>
        <w:rPr>
          <w:rFonts w:eastAsia="Arial Unicode MS"/>
          <w:bCs/>
          <w:kern w:val="0"/>
        </w:rPr>
      </w:pPr>
      <w:proofErr w:type="spellStart"/>
      <w:proofErr w:type="gramStart"/>
      <w:r w:rsidRPr="00647D7A">
        <w:rPr>
          <w:rFonts w:eastAsia="Arial Unicode MS"/>
          <w:bCs/>
          <w:kern w:val="0"/>
          <w:vertAlign w:val="superscript"/>
        </w:rPr>
        <w:t>a</w:t>
      </w:r>
      <w:r w:rsidRPr="00647D7A">
        <w:rPr>
          <w:rFonts w:eastAsia="Arial Unicode MS"/>
          <w:bCs/>
          <w:kern w:val="0"/>
        </w:rPr>
        <w:t>Also</w:t>
      </w:r>
      <w:proofErr w:type="spellEnd"/>
      <w:proofErr w:type="gramEnd"/>
      <w:r w:rsidRPr="00647D7A">
        <w:rPr>
          <w:rFonts w:eastAsia="Arial Unicode MS"/>
          <w:bCs/>
          <w:kern w:val="0"/>
        </w:rPr>
        <w:t xml:space="preserve"> identified at the 2-week sampling time. </w:t>
      </w:r>
      <w:proofErr w:type="spellStart"/>
      <w:proofErr w:type="gramStart"/>
      <w:r w:rsidRPr="00647D7A">
        <w:rPr>
          <w:rFonts w:eastAsia="Arial Unicode MS"/>
          <w:bCs/>
          <w:kern w:val="0"/>
          <w:vertAlign w:val="superscript"/>
        </w:rPr>
        <w:t>b</w:t>
      </w:r>
      <w:r w:rsidRPr="00647D7A">
        <w:rPr>
          <w:rFonts w:eastAsia="Arial Unicode MS"/>
          <w:bCs/>
          <w:kern w:val="0"/>
        </w:rPr>
        <w:t>Also</w:t>
      </w:r>
      <w:proofErr w:type="spellEnd"/>
      <w:proofErr w:type="gramEnd"/>
      <w:r w:rsidRPr="00647D7A">
        <w:rPr>
          <w:rFonts w:eastAsia="Arial Unicode MS"/>
          <w:bCs/>
          <w:kern w:val="0"/>
        </w:rPr>
        <w:t xml:space="preserve"> identified at the 8-week sampling time.</w:t>
      </w:r>
    </w:p>
    <w:sectPr w:rsidR="00AD0E7E" w:rsidRPr="00647D7A" w:rsidSect="00483FEC">
      <w:pgSz w:w="15842" w:h="12242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EC"/>
    <w:rsid w:val="0011068B"/>
    <w:rsid w:val="00483FEC"/>
    <w:rsid w:val="00647D7A"/>
    <w:rsid w:val="00AD0E7E"/>
    <w:rsid w:val="00D63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9D8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EC"/>
    <w:pPr>
      <w:widowControl w:val="0"/>
    </w:pPr>
    <w:rPr>
      <w:rFonts w:ascii="Times New Roman" w:eastAsia="MS Mincho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FEC"/>
    <w:pPr>
      <w:jc w:val="both"/>
    </w:pPr>
    <w:rPr>
      <w:rFonts w:eastAsia="新細明體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83FEC"/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EC"/>
    <w:pPr>
      <w:widowControl w:val="0"/>
    </w:pPr>
    <w:rPr>
      <w:rFonts w:ascii="Times New Roman" w:eastAsia="MS Mincho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FEC"/>
    <w:pPr>
      <w:jc w:val="both"/>
    </w:pPr>
    <w:rPr>
      <w:rFonts w:eastAsia="新細明體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83FEC"/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Macintosh Word</Application>
  <DocSecurity>0</DocSecurity>
  <Lines>14</Lines>
  <Paragraphs>4</Paragraphs>
  <ScaleCrop>false</ScaleCrop>
  <Company>Khaled bin Sultan Living Oceans Foundation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Mayfield</dc:creator>
  <cp:keywords/>
  <dc:description/>
  <cp:lastModifiedBy>Anderson Mayfield</cp:lastModifiedBy>
  <cp:revision>5</cp:revision>
  <dcterms:created xsi:type="dcterms:W3CDTF">2017-09-05T03:57:00Z</dcterms:created>
  <dcterms:modified xsi:type="dcterms:W3CDTF">2017-09-05T04:59:00Z</dcterms:modified>
</cp:coreProperties>
</file>