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526"/>
        <w:gridCol w:w="1134"/>
        <w:gridCol w:w="1134"/>
        <w:gridCol w:w="992"/>
        <w:gridCol w:w="1134"/>
        <w:gridCol w:w="1011"/>
        <w:gridCol w:w="1591"/>
      </w:tblGrid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eastAsia="Heiti SC Light" w:hAnsi="Times New Roman" w:cs="Times New Roman"/>
                <w:b/>
                <w:szCs w:val="21"/>
              </w:rPr>
              <w:t>Chemical Property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Average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A-P</w:t>
            </w:r>
            <w:r w:rsidRPr="00303934">
              <w:rPr>
                <w:rFonts w:ascii="Times New Roman" w:hAnsi="Times New Roman" w:cs="Times New Roman"/>
                <w:szCs w:val="21"/>
              </w:rPr>
              <w:t>（</w:t>
            </w:r>
            <w:r w:rsidRPr="00303934">
              <w:rPr>
                <w:rFonts w:ascii="Times New Roman" w:hAnsi="Times New Roman" w:cs="Times New Roman"/>
                <w:szCs w:val="21"/>
              </w:rPr>
              <w:t>mg/kg</w:t>
            </w:r>
            <w:r w:rsidRPr="00303934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13.000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12.500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13.500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13.00000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0.28868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11.800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10.800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10.600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11.06667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0.37118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7.900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7.300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6.600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7.26667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0.37565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6.300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5.100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7.400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6.26667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0.66416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8.900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9.200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8.600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8.90000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0.17321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6.700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7.000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7.400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7.03333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0.20276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Average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A-K(g/kg)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1.215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1.185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1.175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1.19167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0.01202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1.035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1.155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1.245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1.14500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0.06083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1.375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1.425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1.365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1.38833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0.01856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0.845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0.695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0.770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0.77000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0.04330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1.185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1.195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1.125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1.16833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0.02186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0.925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0.655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0.785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0.78833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0.07796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Average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pH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8.650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8.660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8.820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8.71000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0.05508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8.830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8.800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8.770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8.80000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0.01732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8.630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8.740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8.720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8.69667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0.03383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8.720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9.160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8.870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8.91667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0.12914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8.700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8.800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8.820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8.77333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0.03712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8.750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9.000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8.840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8.86333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0.07311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Average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EC(ms/cm)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8.000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7.560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7.480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7.68000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0.16166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7.030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7.190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6.850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7.02333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0.09821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20.500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20.200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18.980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19.89333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0.46481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14.780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14.750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14.710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14.74667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0.02028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16.930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16.490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17.360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16.92667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0.25115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12.690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12.370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13.000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12.68667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0.18187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Average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SOM(g/kg)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14.046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14.544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14.295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14.29500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0.14376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11.066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11.683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11.611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11.45333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0.19478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13.742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13.475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13.244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13.48700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0.14389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10.999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11.102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11.144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11.08167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0.04307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10.390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11.191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11.123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10.90133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0.25642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10.521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10.698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10.444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10.55433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0.07519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Average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Nitrate-N(mg/kg)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8.276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8.681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7.871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8.27600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0.23383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4.244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4.822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3.864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4.31000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0.27851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1.521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1.480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1.500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1.50033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0.01184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3.745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4.256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3.195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3.73200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0.30635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1.002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1.210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0.794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1.00200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0.12009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1.197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1.187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1.046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1.14333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0.04875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Average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Ammonia-N(mg/kg)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0.140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0.238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0.203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0.19367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0.02867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0.195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0.160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0.261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0.20533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0.02961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0.153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0.149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0.152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0.15133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0.00120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0.286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0.237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0.188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0.23700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0.02829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0.901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1.076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1.270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1.08233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0.10657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1.291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1.774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1.533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1.53267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0.13943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Average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Ca</w:t>
            </w:r>
            <w:r w:rsidRPr="00303934">
              <w:rPr>
                <w:rFonts w:ascii="Times New Roman" w:hAnsi="Times New Roman" w:cs="Times New Roman"/>
                <w:szCs w:val="21"/>
                <w:vertAlign w:val="superscript"/>
              </w:rPr>
              <w:t>+</w:t>
            </w:r>
            <w:r w:rsidRPr="00303934">
              <w:rPr>
                <w:rFonts w:ascii="Times New Roman" w:hAnsi="Times New Roman" w:cs="Times New Roman"/>
                <w:szCs w:val="21"/>
              </w:rPr>
              <w:t>（</w:t>
            </w:r>
            <w:r w:rsidRPr="00303934">
              <w:rPr>
                <w:rFonts w:ascii="Times New Roman" w:hAnsi="Times New Roman" w:cs="Times New Roman"/>
                <w:szCs w:val="21"/>
              </w:rPr>
              <w:t>g/kg</w:t>
            </w:r>
            <w:r w:rsidRPr="00303934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0.099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0.067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0.060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0.07533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0.01200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0.083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0.054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0.088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0.07500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0.01060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0.106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0.130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0.118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0.11800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0.00693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0.074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0.084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0.079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0.07900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0.00289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0.097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0.102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0.101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0.10000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0.00153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0.066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0.086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0.081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0.07767 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rPr>
                <w:rFonts w:ascii="Times New Roman" w:hAnsi="Times New Roman" w:cs="Times New Roman"/>
                <w:szCs w:val="21"/>
              </w:rPr>
            </w:pPr>
            <w:r w:rsidRPr="00303934">
              <w:rPr>
                <w:rFonts w:ascii="Times New Roman" w:hAnsi="Times New Roman" w:cs="Times New Roman"/>
                <w:szCs w:val="21"/>
              </w:rPr>
              <w:t xml:space="preserve">0.00601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Average</w:t>
            </w:r>
          </w:p>
        </w:tc>
        <w:tc>
          <w:tcPr>
            <w:tcW w:w="159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HCO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(g/kg)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0.555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0.486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0.486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0.50900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0.02300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0.486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0.555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0.416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0.48567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0.04013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0.486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0.416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0.416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0.43933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0.02333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0.486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0.486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0.347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0.43967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0.04633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0.416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0.486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0.347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0.41633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0.04013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0.555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0.416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0.486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0.48567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0.04013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Average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Cl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-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(g/kg)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0.178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0.213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0.142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0.17750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0.02050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0.151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0.195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0.16867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0.01342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0.285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0.320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0.249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0.28450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0.02050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0.213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0.213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0.213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0.21300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0.00000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0.124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0.107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0.195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0.14200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0.02695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0.089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0.053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0.089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0.07700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0.01200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Average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SO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(g/kg)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0.339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0.158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0.197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0.23133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0.05500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0.249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0.258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0.134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0.21367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0.03992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0.210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0.141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0.168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0.17300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0.02007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0.166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0.235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0.196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0.19900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0.01997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0.212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0.156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0.100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0.15600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0.03233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0.217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0.252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0.269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0.24600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0.01531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Average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Salinity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g/kg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20.982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23.001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17.941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20.64133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1.47059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29.210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19.095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17.890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22.06500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3.58940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23.557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26.073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21.041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23.55700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1.45261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23.003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21.089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27.068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23.72000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1.76283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4.709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10.344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7.106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7.38633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1.63271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7.343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6.873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7.692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7.30267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0.23728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Average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+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g/kg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0.027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0.037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0.027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0.03033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0.00333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0.032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0.033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0.023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0.02933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0.00318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0.022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0.016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0.014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0.01733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0.00240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0.029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0.031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0.014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0.02467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0.00536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0.028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0.036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0.026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0.03000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0.00306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0.031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0.029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0.03000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0.00058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Average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Na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+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g/kg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19.500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22.000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17.000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19.50000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1.44338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28.000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18.000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17.000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21.00000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3.51188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22.500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25.000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20.000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22.50000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1.44338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22.000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20.000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26.000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22.66667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1.76383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3.800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9.500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6.300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6.53333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1.64958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6.350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6.000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6.700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6.35000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0.20207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Samples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Repeat1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Repeat2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Repeat3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Average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Standard Error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 w:val="restart"/>
            <w:hideMark/>
          </w:tcPr>
          <w:p w:rsidR="00303934" w:rsidRPr="00303934" w:rsidRDefault="00303934" w:rsidP="003039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Mg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2+</w:t>
            </w: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(g/kg)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S0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0.037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0.042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0.030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0.03633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0.00348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S1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0.041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0.034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0.03667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0.00219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S4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0.049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0.052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0.049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0.05000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0.00100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S6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0.036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0.040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0.044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0.04000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0.00231 </w:t>
            </w:r>
          </w:p>
        </w:tc>
      </w:tr>
      <w:tr w:rsidR="00303934" w:rsidRPr="00303934" w:rsidTr="00303934">
        <w:trPr>
          <w:trHeight w:val="270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S7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0.032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0.037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0.037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0.03533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0.00167 </w:t>
            </w:r>
          </w:p>
        </w:tc>
      </w:tr>
      <w:tr w:rsidR="00303934" w:rsidRPr="00303934" w:rsidTr="00303934">
        <w:trPr>
          <w:trHeight w:val="285"/>
        </w:trPr>
        <w:tc>
          <w:tcPr>
            <w:tcW w:w="1526" w:type="dxa"/>
            <w:vMerge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S8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0.035 </w:t>
            </w:r>
          </w:p>
        </w:tc>
        <w:tc>
          <w:tcPr>
            <w:tcW w:w="992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0.035 </w:t>
            </w:r>
          </w:p>
        </w:tc>
        <w:tc>
          <w:tcPr>
            <w:tcW w:w="1134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0.039 </w:t>
            </w:r>
          </w:p>
        </w:tc>
        <w:tc>
          <w:tcPr>
            <w:tcW w:w="1011" w:type="dxa"/>
            <w:noWrap/>
            <w:hideMark/>
          </w:tcPr>
          <w:p w:rsidR="00303934" w:rsidRPr="00303934" w:rsidRDefault="00303934" w:rsidP="00303934">
            <w:pPr>
              <w:widowControl/>
              <w:jc w:val="right"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0.03633 </w:t>
            </w:r>
          </w:p>
        </w:tc>
        <w:tc>
          <w:tcPr>
            <w:tcW w:w="1591" w:type="dxa"/>
            <w:noWrap/>
            <w:vAlign w:val="center"/>
            <w:hideMark/>
          </w:tcPr>
          <w:p w:rsidR="00303934" w:rsidRPr="00303934" w:rsidRDefault="00303934" w:rsidP="00303934">
            <w:pPr>
              <w:widowControl/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</w:pPr>
            <w:r w:rsidRPr="00303934">
              <w:rPr>
                <w:rFonts w:ascii="Times New Roman" w:eastAsia="MingLiU" w:hAnsi="Times New Roman" w:cs="Times New Roman"/>
                <w:color w:val="000000"/>
                <w:kern w:val="0"/>
                <w:szCs w:val="21"/>
              </w:rPr>
              <w:t xml:space="preserve">0.00133 </w:t>
            </w:r>
          </w:p>
        </w:tc>
      </w:tr>
    </w:tbl>
    <w:p w:rsidR="00641765" w:rsidRPr="00303934" w:rsidRDefault="00641765">
      <w:pPr>
        <w:rPr>
          <w:rFonts w:ascii="Times New Roman" w:hAnsi="Times New Roman" w:cs="Times New Roman"/>
          <w:szCs w:val="21"/>
        </w:rPr>
      </w:pPr>
    </w:p>
    <w:sectPr w:rsidR="00641765" w:rsidRPr="00303934" w:rsidSect="0030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3934"/>
    <w:rsid w:val="00303934"/>
    <w:rsid w:val="00324E1C"/>
    <w:rsid w:val="00383ABB"/>
    <w:rsid w:val="00641765"/>
    <w:rsid w:val="0077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6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谷粟</dc:creator>
  <cp:lastModifiedBy>谷粟</cp:lastModifiedBy>
  <cp:revision>1</cp:revision>
  <dcterms:created xsi:type="dcterms:W3CDTF">2017-08-01T14:55:00Z</dcterms:created>
  <dcterms:modified xsi:type="dcterms:W3CDTF">2017-08-01T15:03:00Z</dcterms:modified>
</cp:coreProperties>
</file>