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0D" w:rsidRDefault="00DA791D" w:rsidP="00586D5F">
      <w:pPr>
        <w:spacing w:line="480" w:lineRule="auto"/>
        <w:ind w:left="-709" w:right="56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707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4D" w:rsidRPr="00080BE4" w:rsidRDefault="00F91F63" w:rsidP="00080BE4">
      <w:pPr>
        <w:spacing w:line="360" w:lineRule="auto"/>
        <w:ind w:right="56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S</w:t>
      </w:r>
      <w:r w:rsidR="0086010D" w:rsidRPr="00080BE4">
        <w:rPr>
          <w:rFonts w:ascii="Times New Roman" w:hAnsi="Times New Roman" w:cs="Times New Roman"/>
          <w:b/>
          <w:lang w:val="en-US"/>
        </w:rPr>
        <w:t>1.</w:t>
      </w:r>
      <w:r w:rsidR="0086010D" w:rsidRPr="00080BE4">
        <w:rPr>
          <w:rFonts w:ascii="Times New Roman" w:hAnsi="Times New Roman" w:cs="Times New Roman"/>
          <w:lang w:val="en-US"/>
        </w:rPr>
        <w:t xml:space="preserve"> Numbers of substitutions that give rise to </w:t>
      </w:r>
      <w:r w:rsidR="008470A8" w:rsidRPr="00080BE4">
        <w:rPr>
          <w:rFonts w:ascii="Times New Roman" w:hAnsi="Times New Roman" w:cs="Times New Roman"/>
          <w:lang w:val="en-US"/>
        </w:rPr>
        <w:t>the human amino acid variant (</w:t>
      </w:r>
      <w:r w:rsidR="000C1FAF" w:rsidRPr="00080BE4">
        <w:rPr>
          <w:rFonts w:ascii="Times New Roman" w:hAnsi="Times New Roman" w:cs="Times New Roman"/>
          <w:lang w:val="en-US"/>
        </w:rPr>
        <w:t>white</w:t>
      </w:r>
      <w:r w:rsidR="008470A8" w:rsidRPr="00080BE4">
        <w:rPr>
          <w:rFonts w:ascii="Times New Roman" w:hAnsi="Times New Roman" w:cs="Times New Roman"/>
          <w:lang w:val="en-US"/>
        </w:rPr>
        <w:t xml:space="preserve">) </w:t>
      </w:r>
      <w:r w:rsidR="00E26530" w:rsidRPr="00080BE4">
        <w:rPr>
          <w:rFonts w:ascii="Times New Roman" w:hAnsi="Times New Roman" w:cs="Times New Roman"/>
          <w:lang w:val="en-US"/>
        </w:rPr>
        <w:t xml:space="preserve">or </w:t>
      </w:r>
      <w:r w:rsidR="00457C70" w:rsidRPr="00080BE4">
        <w:rPr>
          <w:rFonts w:ascii="Times New Roman" w:hAnsi="Times New Roman" w:cs="Times New Roman"/>
          <w:lang w:val="en-US"/>
        </w:rPr>
        <w:t>the mean</w:t>
      </w:r>
      <w:r w:rsidR="00E26530" w:rsidRPr="00080BE4">
        <w:rPr>
          <w:rFonts w:ascii="Times New Roman" w:hAnsi="Times New Roman" w:cs="Times New Roman"/>
          <w:lang w:val="en-US"/>
        </w:rPr>
        <w:t xml:space="preserve"> number of substitutions to </w:t>
      </w:r>
      <w:r w:rsidR="000C1FAF" w:rsidRPr="00080BE4">
        <w:rPr>
          <w:rFonts w:ascii="Times New Roman" w:hAnsi="Times New Roman" w:cs="Times New Roman"/>
          <w:lang w:val="en-US"/>
        </w:rPr>
        <w:t>a particular</w:t>
      </w:r>
      <w:r w:rsidR="00C00D13" w:rsidRPr="00080BE4">
        <w:rPr>
          <w:rFonts w:ascii="Times New Roman" w:hAnsi="Times New Roman" w:cs="Times New Roman"/>
          <w:lang w:val="en-US"/>
        </w:rPr>
        <w:t xml:space="preserve"> </w:t>
      </w:r>
      <w:r w:rsidR="0064784D" w:rsidRPr="00080BE4">
        <w:rPr>
          <w:rFonts w:ascii="Times New Roman" w:hAnsi="Times New Roman" w:cs="Times New Roman"/>
          <w:lang w:val="en-US"/>
        </w:rPr>
        <w:t>amino acid (</w:t>
      </w:r>
      <w:r w:rsidR="00FF3022" w:rsidRPr="00080BE4">
        <w:rPr>
          <w:rFonts w:ascii="Times New Roman" w:hAnsi="Times New Roman" w:cs="Times New Roman"/>
          <w:lang w:val="en-US"/>
        </w:rPr>
        <w:t>black</w:t>
      </w:r>
      <w:r w:rsidR="0064784D" w:rsidRPr="00080BE4">
        <w:rPr>
          <w:rFonts w:ascii="Times New Roman" w:hAnsi="Times New Roman" w:cs="Times New Roman"/>
          <w:lang w:val="en-US"/>
        </w:rPr>
        <w:t>)</w:t>
      </w:r>
      <w:r w:rsidR="00C0783D" w:rsidRPr="00080BE4">
        <w:rPr>
          <w:rFonts w:ascii="Times New Roman" w:hAnsi="Times New Roman" w:cs="Times New Roman"/>
          <w:lang w:val="en-US"/>
        </w:rPr>
        <w:t xml:space="preserve"> </w:t>
      </w:r>
      <w:r w:rsidR="00D21F45" w:rsidRPr="00080BE4">
        <w:rPr>
          <w:rFonts w:ascii="Times New Roman" w:hAnsi="Times New Roman" w:cs="Times New Roman"/>
          <w:lang w:val="en-US"/>
        </w:rPr>
        <w:t xml:space="preserve">at a site </w:t>
      </w:r>
      <w:r w:rsidR="008E178D" w:rsidRPr="00080BE4">
        <w:rPr>
          <w:rFonts w:ascii="Times New Roman" w:hAnsi="Times New Roman" w:cs="Times New Roman"/>
          <w:lang w:val="en-US"/>
        </w:rPr>
        <w:t>for sites with at least one substitution</w:t>
      </w:r>
      <w:r w:rsidR="00337E1E" w:rsidRPr="00080BE4">
        <w:rPr>
          <w:rFonts w:ascii="Times New Roman" w:hAnsi="Times New Roman" w:cs="Times New Roman"/>
          <w:lang w:val="en-US"/>
        </w:rPr>
        <w:t xml:space="preserve"> in Metazoan dataset</w:t>
      </w:r>
      <w:r w:rsidR="008E178D" w:rsidRPr="00080BE4">
        <w:rPr>
          <w:rFonts w:ascii="Times New Roman" w:hAnsi="Times New Roman" w:cs="Times New Roman"/>
          <w:lang w:val="en-US"/>
        </w:rPr>
        <w:t>.</w:t>
      </w:r>
    </w:p>
    <w:p w:rsidR="0062343B" w:rsidRDefault="00A4635C" w:rsidP="0064784D">
      <w:pPr>
        <w:spacing w:line="48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71399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63" w:rsidRDefault="00F91F63" w:rsidP="00F91F63">
      <w:pPr>
        <w:spacing w:line="360" w:lineRule="auto"/>
        <w:ind w:right="56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S</w:t>
      </w:r>
      <w:r w:rsidR="009D3D14" w:rsidRPr="00080BE4">
        <w:rPr>
          <w:rFonts w:ascii="Times New Roman" w:hAnsi="Times New Roman" w:cs="Times New Roman"/>
          <w:b/>
          <w:lang w:val="en-US"/>
        </w:rPr>
        <w:t>2</w:t>
      </w:r>
      <w:r w:rsidR="00CE0560" w:rsidRPr="00080BE4">
        <w:rPr>
          <w:rFonts w:ascii="Times New Roman" w:hAnsi="Times New Roman" w:cs="Times New Roman"/>
          <w:b/>
          <w:lang w:val="en-US"/>
        </w:rPr>
        <w:t>.</w:t>
      </w:r>
      <w:r w:rsidR="00CE0560" w:rsidRPr="00080BE4">
        <w:rPr>
          <w:rFonts w:ascii="Times New Roman" w:hAnsi="Times New Roman" w:cs="Times New Roman"/>
          <w:lang w:val="en-US"/>
        </w:rPr>
        <w:t xml:space="preserve"> Numbers of substitutions that give rise to the human amino acid variant (</w:t>
      </w:r>
      <w:r w:rsidR="00E65022" w:rsidRPr="00080BE4">
        <w:rPr>
          <w:rFonts w:ascii="Times New Roman" w:hAnsi="Times New Roman" w:cs="Times New Roman"/>
          <w:lang w:val="en-US"/>
        </w:rPr>
        <w:t>white</w:t>
      </w:r>
      <w:r w:rsidR="00CE0560" w:rsidRPr="00080BE4">
        <w:rPr>
          <w:rFonts w:ascii="Times New Roman" w:hAnsi="Times New Roman" w:cs="Times New Roman"/>
          <w:lang w:val="en-US"/>
        </w:rPr>
        <w:t xml:space="preserve">) </w:t>
      </w:r>
      <w:r w:rsidR="00677D9F" w:rsidRPr="00080BE4">
        <w:rPr>
          <w:rFonts w:ascii="Times New Roman" w:hAnsi="Times New Roman" w:cs="Times New Roman"/>
          <w:lang w:val="en-US"/>
        </w:rPr>
        <w:t>or the mean</w:t>
      </w:r>
      <w:r w:rsidR="00CE0560" w:rsidRPr="00080BE4">
        <w:rPr>
          <w:rFonts w:ascii="Times New Roman" w:hAnsi="Times New Roman" w:cs="Times New Roman"/>
          <w:lang w:val="en-US"/>
        </w:rPr>
        <w:t xml:space="preserve"> number of substitutions to </w:t>
      </w:r>
      <w:r w:rsidR="00677D9F" w:rsidRPr="00080BE4">
        <w:rPr>
          <w:rFonts w:ascii="Times New Roman" w:hAnsi="Times New Roman" w:cs="Times New Roman"/>
          <w:lang w:val="en-US"/>
        </w:rPr>
        <w:t>a particular</w:t>
      </w:r>
      <w:r w:rsidR="00CE0560" w:rsidRPr="00080BE4">
        <w:rPr>
          <w:rFonts w:ascii="Times New Roman" w:hAnsi="Times New Roman" w:cs="Times New Roman"/>
          <w:lang w:val="en-US"/>
        </w:rPr>
        <w:t xml:space="preserve"> amino acid </w:t>
      </w:r>
      <w:r w:rsidR="00677D9F" w:rsidRPr="00080BE4">
        <w:rPr>
          <w:rFonts w:ascii="Times New Roman" w:hAnsi="Times New Roman" w:cs="Times New Roman"/>
          <w:lang w:val="en-US"/>
        </w:rPr>
        <w:t xml:space="preserve">(black) </w:t>
      </w:r>
      <w:r w:rsidR="00CE0560" w:rsidRPr="00080BE4">
        <w:rPr>
          <w:rFonts w:ascii="Times New Roman" w:hAnsi="Times New Roman" w:cs="Times New Roman"/>
          <w:lang w:val="en-US"/>
        </w:rPr>
        <w:t>at a site for sites with at least one substitution</w:t>
      </w:r>
      <w:r w:rsidR="007D1EF0" w:rsidRPr="00080BE4">
        <w:rPr>
          <w:rFonts w:ascii="Times New Roman" w:hAnsi="Times New Roman" w:cs="Times New Roman"/>
          <w:lang w:val="en-US"/>
        </w:rPr>
        <w:t xml:space="preserve"> </w:t>
      </w:r>
      <w:r w:rsidR="0048791C" w:rsidRPr="00080BE4">
        <w:rPr>
          <w:rFonts w:ascii="Times New Roman" w:hAnsi="Times New Roman" w:cs="Times New Roman"/>
          <w:lang w:val="en-US"/>
        </w:rPr>
        <w:t>in o</w:t>
      </w:r>
      <w:r w:rsidR="007D1EF0" w:rsidRPr="00080BE4">
        <w:rPr>
          <w:rFonts w:ascii="Times New Roman" w:hAnsi="Times New Roman" w:cs="Times New Roman"/>
          <w:lang w:val="en-US"/>
        </w:rPr>
        <w:t>pisthokonts dataset</w:t>
      </w:r>
      <w:r w:rsidR="00CE0560" w:rsidRPr="00080BE4">
        <w:rPr>
          <w:rFonts w:ascii="Times New Roman" w:hAnsi="Times New Roman" w:cs="Times New Roman"/>
          <w:lang w:val="en-US"/>
        </w:rPr>
        <w:t>.</w:t>
      </w:r>
    </w:p>
    <w:p w:rsidR="009A54F6" w:rsidRPr="009A54F6" w:rsidRDefault="00F91F63" w:rsidP="009A54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F91F63" w:rsidRDefault="009A54F6" w:rsidP="009A54F6">
      <w:pPr>
        <w:ind w:left="-709"/>
        <w:rPr>
          <w:rFonts w:ascii="Times New Roman" w:hAnsi="Times New Roman" w:cs="Times New Roman"/>
          <w:lang w:val="en-US"/>
        </w:rPr>
      </w:pPr>
      <w:r w:rsidRPr="009A54F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255413" cy="720000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13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F6" w:rsidRDefault="005A02F4" w:rsidP="009A54F6">
      <w:pPr>
        <w:ind w:left="-709"/>
        <w:rPr>
          <w:rFonts w:ascii="Times New Roman" w:hAnsi="Times New Roman"/>
          <w:lang w:val="en-US"/>
        </w:rPr>
      </w:pPr>
      <w:r w:rsidRPr="0028726B">
        <w:rPr>
          <w:rFonts w:ascii="Times New Roman" w:hAnsi="Times New Roman"/>
          <w:b/>
          <w:lang w:val="en-US"/>
        </w:rPr>
        <w:t xml:space="preserve">Figure </w:t>
      </w:r>
      <w:r>
        <w:rPr>
          <w:rFonts w:ascii="Times New Roman" w:hAnsi="Times New Roman"/>
          <w:b/>
          <w:lang w:val="en-US"/>
        </w:rPr>
        <w:t>S3</w:t>
      </w:r>
      <w:r w:rsidRPr="0028726B">
        <w:rPr>
          <w:rFonts w:ascii="Times New Roman" w:hAnsi="Times New Roman"/>
          <w:b/>
          <w:lang w:val="en-US"/>
        </w:rPr>
        <w:t xml:space="preserve">. </w:t>
      </w:r>
      <w:r w:rsidRPr="0028726B">
        <w:rPr>
          <w:rFonts w:ascii="Times New Roman" w:hAnsi="Times New Roman"/>
          <w:lang w:val="en-US"/>
        </w:rPr>
        <w:t>Ratios of the phylogenetic distances between the human branch and substitutions to the human reference allele vs. to other amino acids</w:t>
      </w:r>
      <w:r w:rsidR="003D46E4">
        <w:rPr>
          <w:rFonts w:ascii="Times New Roman" w:hAnsi="Times New Roman"/>
          <w:lang w:val="en-US"/>
        </w:rPr>
        <w:t>, for metazoan dataset</w:t>
      </w:r>
      <w:r w:rsidRPr="0028726B">
        <w:rPr>
          <w:rFonts w:ascii="Times New Roman" w:hAnsi="Times New Roman"/>
          <w:lang w:val="en-US"/>
        </w:rPr>
        <w:t>. Ratios &lt;</w:t>
      </w:r>
      <w:proofErr w:type="gramStart"/>
      <w:r w:rsidRPr="0028726B">
        <w:rPr>
          <w:rFonts w:ascii="Times New Roman" w:hAnsi="Times New Roman"/>
          <w:lang w:val="en-US"/>
        </w:rPr>
        <w:t>1</w:t>
      </w:r>
      <w:proofErr w:type="gramEnd"/>
      <w:r w:rsidRPr="0028726B">
        <w:rPr>
          <w:rFonts w:ascii="Times New Roman" w:hAnsi="Times New Roman"/>
          <w:lang w:val="en-US"/>
        </w:rPr>
        <w:t xml:space="preserve"> imply that the considered allele arises independently closer at the phylogeny to humans than other alleles. The bar height and the error bars represent respectively the median and the 95% confidence intervals obtained from 1,000 bootstrap replicates, and asterisks show the significance of difference from the one-to-one ratio (*, P&lt;0.05; **, P&lt;0.01;***, P&lt;0.001). ref, human reference allele; access, human reference alleles from accessible amino acid pairs (see text); rand, a random non-human amino acid among those that were present in the site; </w:t>
      </w:r>
      <w:proofErr w:type="spellStart"/>
      <w:r w:rsidRPr="0028726B">
        <w:rPr>
          <w:rFonts w:ascii="Times New Roman" w:hAnsi="Times New Roman"/>
          <w:lang w:val="en-US"/>
        </w:rPr>
        <w:t>sim</w:t>
      </w:r>
      <w:proofErr w:type="spellEnd"/>
      <w:r w:rsidRPr="0028726B">
        <w:rPr>
          <w:rFonts w:ascii="Times New Roman" w:hAnsi="Times New Roman"/>
          <w:lang w:val="en-US"/>
        </w:rPr>
        <w:t>, human allele in simulated data.</w:t>
      </w:r>
    </w:p>
    <w:p w:rsidR="005A02F4" w:rsidRDefault="005A02F4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5A02F4" w:rsidRDefault="005A02F4" w:rsidP="005A02F4">
      <w:pPr>
        <w:ind w:left="-1276"/>
        <w:rPr>
          <w:rFonts w:ascii="Times New Roman" w:hAnsi="Times New Roman"/>
          <w:b/>
          <w:lang w:val="en-US"/>
        </w:rPr>
      </w:pPr>
      <w:r w:rsidRPr="005A02F4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962142" cy="50209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"/>
                    <a:stretch/>
                  </pic:blipFill>
                  <pic:spPr bwMode="auto">
                    <a:xfrm>
                      <a:off x="0" y="0"/>
                      <a:ext cx="6962593" cy="50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54D" w:rsidRDefault="009B454D" w:rsidP="005A02F4">
      <w:pPr>
        <w:ind w:left="-1276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Figure S4</w:t>
      </w:r>
      <w:r w:rsidRPr="0028726B">
        <w:rPr>
          <w:rFonts w:ascii="Times New Roman" w:hAnsi="Times New Roman"/>
          <w:b/>
          <w:lang w:val="en-US"/>
        </w:rPr>
        <w:t xml:space="preserve">. </w:t>
      </w:r>
      <w:r w:rsidRPr="0028726B">
        <w:rPr>
          <w:rFonts w:ascii="Times New Roman" w:hAnsi="Times New Roman"/>
          <w:lang w:val="en-US"/>
        </w:rPr>
        <w:t xml:space="preserve">Higher fraction of </w:t>
      </w:r>
      <w:proofErr w:type="spellStart"/>
      <w:r w:rsidRPr="0028726B">
        <w:rPr>
          <w:rFonts w:ascii="Times New Roman" w:hAnsi="Times New Roman"/>
          <w:lang w:val="en-US"/>
        </w:rPr>
        <w:t>homoplasic</w:t>
      </w:r>
      <w:proofErr w:type="spellEnd"/>
      <w:r w:rsidRPr="0028726B">
        <w:rPr>
          <w:rFonts w:ascii="Times New Roman" w:hAnsi="Times New Roman"/>
          <w:lang w:val="en-US"/>
        </w:rPr>
        <w:t xml:space="preserve"> substitutions to the human reference amino acid, compared with random amino acids that had independently originated at this site (H/D ratio), in species closely related to human</w:t>
      </w:r>
      <w:r w:rsidR="002B2235">
        <w:rPr>
          <w:rFonts w:ascii="Times New Roman" w:hAnsi="Times New Roman"/>
          <w:lang w:val="en-US"/>
        </w:rPr>
        <w:t>, for metazoan dataset</w:t>
      </w:r>
      <w:r w:rsidRPr="0028726B">
        <w:rPr>
          <w:rFonts w:ascii="Times New Roman" w:hAnsi="Times New Roman"/>
          <w:lang w:val="en-US"/>
        </w:rPr>
        <w:t>. Horizontal axis, distance between branches carrying the substitutions and the human branch, measured in numbers of amino acid substitutions per site, split into bins by log</w:t>
      </w:r>
      <w:r w:rsidRPr="0028726B">
        <w:rPr>
          <w:rFonts w:ascii="Times New Roman" w:hAnsi="Times New Roman"/>
          <w:vertAlign w:val="subscript"/>
          <w:lang w:val="en-US"/>
        </w:rPr>
        <w:t>2</w:t>
      </w:r>
      <w:r w:rsidRPr="0028726B">
        <w:rPr>
          <w:rFonts w:ascii="Times New Roman" w:hAnsi="Times New Roman"/>
          <w:lang w:val="en-US"/>
        </w:rPr>
        <w:t xml:space="preserve">(distance). Vertical axis, H/D ratios for substitutions at this distance. Black line, mean; grey confidence band, 95% confidence interval obtained from 1000 bootstrapping replicates. The red line shows the expected H/D ratio of </w:t>
      </w:r>
      <w:proofErr w:type="gramStart"/>
      <w:r w:rsidRPr="0028726B">
        <w:rPr>
          <w:rFonts w:ascii="Times New Roman" w:hAnsi="Times New Roman"/>
          <w:lang w:val="en-US"/>
        </w:rPr>
        <w:t>1</w:t>
      </w:r>
      <w:proofErr w:type="gramEnd"/>
      <w:r w:rsidRPr="0028726B">
        <w:rPr>
          <w:rFonts w:ascii="Times New Roman" w:hAnsi="Times New Roman"/>
          <w:lang w:val="en-US"/>
        </w:rPr>
        <w:t xml:space="preserve">. Arrows represent the distance between human and </w:t>
      </w:r>
      <w:r w:rsidRPr="0028726B">
        <w:rPr>
          <w:rFonts w:ascii="Times New Roman" w:hAnsi="Times New Roman"/>
          <w:i/>
          <w:lang w:val="en-US"/>
        </w:rPr>
        <w:t>Drosophila.</w:t>
      </w:r>
    </w:p>
    <w:p w:rsidR="00DD2D15" w:rsidRDefault="00DD2D15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604788" w:rsidRDefault="00604788" w:rsidP="00604788">
      <w:pPr>
        <w:ind w:left="-709"/>
        <w:rPr>
          <w:rFonts w:ascii="Times New Roman" w:hAnsi="Times New Roman"/>
          <w:b/>
          <w:lang w:val="en-US"/>
        </w:rPr>
      </w:pPr>
      <w:r w:rsidRPr="00604788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5939790" cy="80010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9" b="1466"/>
                    <a:stretch/>
                  </pic:blipFill>
                  <pic:spPr bwMode="auto">
                    <a:xfrm>
                      <a:off x="0" y="0"/>
                      <a:ext cx="5940425" cy="80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98C" w:rsidRPr="0028726B" w:rsidRDefault="00FF0B23" w:rsidP="004F598C">
      <w:pPr>
        <w:spacing w:line="360" w:lineRule="auto"/>
        <w:ind w:left="-284" w:right="566" w:firstLine="56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Figure S5</w:t>
      </w:r>
      <w:r w:rsidR="004F598C" w:rsidRPr="0028726B">
        <w:rPr>
          <w:rFonts w:ascii="Times New Roman" w:hAnsi="Times New Roman"/>
          <w:b/>
          <w:lang w:val="en-US"/>
        </w:rPr>
        <w:t>.</w:t>
      </w:r>
      <w:r w:rsidR="004F598C" w:rsidRPr="0028726B">
        <w:rPr>
          <w:rFonts w:ascii="Times New Roman" w:hAnsi="Times New Roman"/>
          <w:lang w:val="en-US"/>
        </w:rPr>
        <w:t xml:space="preserve"> Ratios of the phylogenetic distances between the human branch and substitutions to the human non-reference allele vs. to other amino acids</w:t>
      </w:r>
      <w:r w:rsidR="002B2235">
        <w:rPr>
          <w:rFonts w:ascii="Times New Roman" w:hAnsi="Times New Roman"/>
          <w:lang w:val="en-US"/>
        </w:rPr>
        <w:t>, for metazoan dataset</w:t>
      </w:r>
      <w:r w:rsidR="004F598C" w:rsidRPr="0028726B">
        <w:rPr>
          <w:rFonts w:ascii="Times New Roman" w:hAnsi="Times New Roman"/>
          <w:lang w:val="en-US"/>
        </w:rPr>
        <w:t xml:space="preserve">. Notations same as in Figure </w:t>
      </w:r>
      <w:r w:rsidR="004F598C">
        <w:rPr>
          <w:rFonts w:ascii="Times New Roman" w:hAnsi="Times New Roman"/>
          <w:lang w:val="en-US"/>
        </w:rPr>
        <w:t>S</w:t>
      </w:r>
      <w:r w:rsidR="004F598C" w:rsidRPr="0028726B">
        <w:rPr>
          <w:rFonts w:ascii="Times New Roman" w:hAnsi="Times New Roman"/>
          <w:lang w:val="en-US"/>
        </w:rPr>
        <w:t>1.</w:t>
      </w:r>
    </w:p>
    <w:p w:rsidR="002959E1" w:rsidRDefault="002959E1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DD2D15" w:rsidRDefault="00FF0B23" w:rsidP="00FF0B23">
      <w:pPr>
        <w:ind w:left="-1560"/>
        <w:rPr>
          <w:rFonts w:ascii="Times New Roman" w:hAnsi="Times New Roman"/>
          <w:b/>
          <w:lang w:val="en-US"/>
        </w:rPr>
      </w:pPr>
      <w:r w:rsidRPr="00FF0B23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7200000" cy="6488848"/>
            <wp:effectExtent l="0" t="0" r="127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64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23" w:rsidRDefault="00B7228A" w:rsidP="00FF0B23">
      <w:pPr>
        <w:ind w:left="-156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Figure S6</w:t>
      </w:r>
      <w:r w:rsidRPr="0028726B">
        <w:rPr>
          <w:rFonts w:ascii="Times New Roman" w:hAnsi="Times New Roman"/>
          <w:b/>
          <w:lang w:val="en-US"/>
        </w:rPr>
        <w:t>.</w:t>
      </w:r>
      <w:r w:rsidRPr="0028726B">
        <w:rPr>
          <w:rFonts w:ascii="Times New Roman" w:hAnsi="Times New Roman"/>
          <w:lang w:val="en-US"/>
        </w:rPr>
        <w:t xml:space="preserve"> Higher fraction of </w:t>
      </w:r>
      <w:proofErr w:type="spellStart"/>
      <w:r w:rsidRPr="0028726B">
        <w:rPr>
          <w:rFonts w:ascii="Times New Roman" w:hAnsi="Times New Roman"/>
          <w:lang w:val="en-US"/>
        </w:rPr>
        <w:t>homoplasic</w:t>
      </w:r>
      <w:proofErr w:type="spellEnd"/>
      <w:r w:rsidRPr="0028726B">
        <w:rPr>
          <w:rFonts w:ascii="Times New Roman" w:hAnsi="Times New Roman"/>
          <w:lang w:val="en-US"/>
        </w:rPr>
        <w:t xml:space="preserve"> substitutions to the human non-reference amino acid, compared with random amino acids that had independently originated at this site (H/D ratio), in species closely related to huma</w:t>
      </w:r>
      <w:r>
        <w:rPr>
          <w:rFonts w:ascii="Times New Roman" w:hAnsi="Times New Roman"/>
          <w:lang w:val="en-US"/>
        </w:rPr>
        <w:t>n, for metazoan dataset. Notations same as in Figure S2</w:t>
      </w:r>
      <w:r w:rsidRPr="0028726B">
        <w:rPr>
          <w:rFonts w:ascii="Times New Roman" w:hAnsi="Times New Roman"/>
          <w:lang w:val="en-US"/>
        </w:rPr>
        <w:t>.</w:t>
      </w:r>
    </w:p>
    <w:p w:rsidR="00D66DFC" w:rsidRDefault="00D66DFC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D66DFC" w:rsidRDefault="000C2F39" w:rsidP="000C2F39">
      <w:pPr>
        <w:ind w:left="-709"/>
        <w:rPr>
          <w:rFonts w:ascii="Times New Roman" w:hAnsi="Times New Roman"/>
          <w:b/>
          <w:lang w:val="en-US"/>
        </w:rPr>
      </w:pPr>
      <w:r w:rsidRPr="000C2F39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5940425" cy="7732576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39" w:rsidRPr="0028726B" w:rsidRDefault="000C2F39" w:rsidP="000C2F39">
      <w:pPr>
        <w:spacing w:line="360" w:lineRule="auto"/>
        <w:ind w:left="-284" w:right="566" w:firstLine="568"/>
        <w:jc w:val="both"/>
        <w:rPr>
          <w:rFonts w:ascii="Times New Roman" w:hAnsi="Times New Roman"/>
          <w:lang w:val="en-US"/>
        </w:rPr>
      </w:pPr>
      <w:r w:rsidRPr="0028726B">
        <w:rPr>
          <w:rFonts w:ascii="Times New Roman" w:hAnsi="Times New Roman"/>
          <w:b/>
          <w:lang w:val="en-US"/>
        </w:rPr>
        <w:t xml:space="preserve">Figure </w:t>
      </w:r>
      <w:r>
        <w:rPr>
          <w:rFonts w:ascii="Times New Roman" w:hAnsi="Times New Roman"/>
          <w:b/>
          <w:lang w:val="en-US"/>
        </w:rPr>
        <w:t>S</w:t>
      </w:r>
      <w:r w:rsidRPr="0028726B">
        <w:rPr>
          <w:rFonts w:ascii="Times New Roman" w:hAnsi="Times New Roman"/>
          <w:b/>
          <w:lang w:val="en-US"/>
        </w:rPr>
        <w:t>7.</w:t>
      </w:r>
      <w:r w:rsidRPr="0028726B">
        <w:rPr>
          <w:rFonts w:ascii="Times New Roman" w:hAnsi="Times New Roman"/>
          <w:lang w:val="en-US"/>
        </w:rPr>
        <w:t xml:space="preserve"> Ratios of the phylogenetic distances between the human branch and substitutions to the human pathogenic allele vs. to other amino acids</w:t>
      </w:r>
      <w:r>
        <w:rPr>
          <w:rFonts w:ascii="Times New Roman" w:hAnsi="Times New Roman"/>
          <w:lang w:val="en-US"/>
        </w:rPr>
        <w:t>, for metazoan dataset</w:t>
      </w:r>
      <w:r w:rsidRPr="0028726B">
        <w:rPr>
          <w:rFonts w:ascii="Times New Roman" w:hAnsi="Times New Roman"/>
          <w:lang w:val="en-US"/>
        </w:rPr>
        <w:t xml:space="preserve">. Notations same as in Figure </w:t>
      </w:r>
      <w:r>
        <w:rPr>
          <w:rFonts w:ascii="Times New Roman" w:hAnsi="Times New Roman"/>
          <w:lang w:val="en-US"/>
        </w:rPr>
        <w:t>S</w:t>
      </w:r>
      <w:r w:rsidRPr="0028726B">
        <w:rPr>
          <w:rFonts w:ascii="Times New Roman" w:hAnsi="Times New Roman"/>
          <w:lang w:val="en-US"/>
        </w:rPr>
        <w:t>1.</w:t>
      </w:r>
    </w:p>
    <w:p w:rsidR="008B2103" w:rsidRDefault="008B210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0C2F39" w:rsidRDefault="004D0DD1" w:rsidP="004D0DD1">
      <w:pPr>
        <w:ind w:left="-993"/>
        <w:rPr>
          <w:rFonts w:ascii="Times New Roman" w:hAnsi="Times New Roman"/>
          <w:b/>
          <w:lang w:val="en-US"/>
        </w:rPr>
      </w:pPr>
      <w:r w:rsidRPr="004D0DD1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221896" cy="5741861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" r="8739"/>
                    <a:stretch/>
                  </pic:blipFill>
                  <pic:spPr bwMode="auto">
                    <a:xfrm>
                      <a:off x="0" y="0"/>
                      <a:ext cx="6222883" cy="57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DD1" w:rsidRDefault="00221A05" w:rsidP="004D0DD1">
      <w:pPr>
        <w:ind w:left="-993"/>
        <w:rPr>
          <w:rFonts w:ascii="Times New Roman" w:hAnsi="Times New Roman"/>
          <w:lang w:val="en-US"/>
        </w:rPr>
      </w:pPr>
      <w:r w:rsidRPr="0028726B">
        <w:rPr>
          <w:rFonts w:ascii="Times New Roman" w:hAnsi="Times New Roman"/>
          <w:b/>
          <w:lang w:val="en-US"/>
        </w:rPr>
        <w:t xml:space="preserve">Figure </w:t>
      </w:r>
      <w:r>
        <w:rPr>
          <w:rFonts w:ascii="Times New Roman" w:hAnsi="Times New Roman"/>
          <w:b/>
          <w:lang w:val="en-US"/>
        </w:rPr>
        <w:t>S</w:t>
      </w:r>
      <w:r w:rsidRPr="0028726B">
        <w:rPr>
          <w:rFonts w:ascii="Times New Roman" w:hAnsi="Times New Roman"/>
          <w:b/>
          <w:lang w:val="en-US"/>
        </w:rPr>
        <w:t>8.</w:t>
      </w:r>
      <w:r w:rsidRPr="0028726B">
        <w:rPr>
          <w:rFonts w:ascii="Times New Roman" w:hAnsi="Times New Roman"/>
          <w:lang w:val="en-US"/>
        </w:rPr>
        <w:t xml:space="preserve"> Higher fraction of </w:t>
      </w:r>
      <w:proofErr w:type="spellStart"/>
      <w:r w:rsidRPr="0028726B">
        <w:rPr>
          <w:rFonts w:ascii="Times New Roman" w:hAnsi="Times New Roman"/>
          <w:lang w:val="en-US"/>
        </w:rPr>
        <w:t>homoplasic</w:t>
      </w:r>
      <w:proofErr w:type="spellEnd"/>
      <w:r w:rsidRPr="0028726B">
        <w:rPr>
          <w:rFonts w:ascii="Times New Roman" w:hAnsi="Times New Roman"/>
          <w:lang w:val="en-US"/>
        </w:rPr>
        <w:t xml:space="preserve"> substitutions to the human pathogenic amino acid, compared with random amino acids that had independently originated at this site (H/D ratio), in species closely related to human</w:t>
      </w:r>
      <w:r w:rsidR="00E467F0">
        <w:rPr>
          <w:rFonts w:ascii="Times New Roman" w:hAnsi="Times New Roman"/>
          <w:lang w:val="en-US"/>
        </w:rPr>
        <w:t>, for metazoan dataset.</w:t>
      </w:r>
      <w:r w:rsidRPr="0028726B">
        <w:rPr>
          <w:rFonts w:ascii="Times New Roman" w:hAnsi="Times New Roman"/>
          <w:lang w:val="en-US"/>
        </w:rPr>
        <w:t xml:space="preserve"> Notations same as in Figure </w:t>
      </w:r>
      <w:r>
        <w:rPr>
          <w:rFonts w:ascii="Times New Roman" w:hAnsi="Times New Roman"/>
          <w:lang w:val="en-US"/>
        </w:rPr>
        <w:t>S</w:t>
      </w:r>
      <w:r w:rsidRPr="0028726B">
        <w:rPr>
          <w:rFonts w:ascii="Times New Roman" w:hAnsi="Times New Roman"/>
          <w:lang w:val="en-US"/>
        </w:rPr>
        <w:t>2.</w:t>
      </w:r>
    </w:p>
    <w:p w:rsidR="00062BD5" w:rsidRDefault="00062BD5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062BD5" w:rsidRDefault="00586D5F" w:rsidP="004D0DD1">
      <w:pPr>
        <w:ind w:left="-993"/>
        <w:rPr>
          <w:rFonts w:ascii="Times New Roman" w:hAnsi="Times New Roman"/>
          <w:b/>
          <w:lang w:val="en-US"/>
        </w:rPr>
      </w:pPr>
      <w:r w:rsidRPr="000C06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6207B0" wp14:editId="05CDA828">
            <wp:extent cx="7005946" cy="36195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447" cy="36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F0" w:rsidRDefault="007D1EF0" w:rsidP="00F91F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455" w:rsidRPr="00080BE4" w:rsidRDefault="00F91F63" w:rsidP="00080BE4">
      <w:pPr>
        <w:spacing w:line="360" w:lineRule="auto"/>
        <w:ind w:right="56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S9</w:t>
      </w:r>
      <w:r w:rsidR="00014FC8" w:rsidRPr="00080BE4">
        <w:rPr>
          <w:rFonts w:ascii="Times New Roman" w:hAnsi="Times New Roman" w:cs="Times New Roman"/>
          <w:b/>
          <w:lang w:val="en-US"/>
        </w:rPr>
        <w:t xml:space="preserve">. </w:t>
      </w:r>
      <w:r w:rsidR="00C77455" w:rsidRPr="00080BE4">
        <w:rPr>
          <w:rFonts w:ascii="Times New Roman" w:hAnsi="Times New Roman" w:cs="Times New Roman"/>
          <w:lang w:val="en-US"/>
        </w:rPr>
        <w:t>Su</w:t>
      </w:r>
      <w:r w:rsidR="00903054" w:rsidRPr="00080BE4">
        <w:rPr>
          <w:rFonts w:ascii="Times New Roman" w:hAnsi="Times New Roman" w:cs="Times New Roman"/>
          <w:lang w:val="en-US"/>
        </w:rPr>
        <w:t xml:space="preserve">bstitutions </w:t>
      </w:r>
      <w:r w:rsidR="00656C56" w:rsidRPr="00080BE4">
        <w:rPr>
          <w:rFonts w:ascii="Times New Roman" w:hAnsi="Times New Roman" w:cs="Times New Roman"/>
          <w:lang w:val="en-US"/>
        </w:rPr>
        <w:t xml:space="preserve">giving rise </w:t>
      </w:r>
      <w:r w:rsidR="00903054" w:rsidRPr="00080BE4">
        <w:rPr>
          <w:rFonts w:ascii="Times New Roman" w:hAnsi="Times New Roman" w:cs="Times New Roman"/>
          <w:lang w:val="en-US"/>
        </w:rPr>
        <w:t xml:space="preserve">to </w:t>
      </w:r>
      <w:r w:rsidR="00656C56" w:rsidRPr="00080BE4">
        <w:rPr>
          <w:rFonts w:ascii="Times New Roman" w:hAnsi="Times New Roman" w:cs="Times New Roman"/>
          <w:lang w:val="en-US"/>
        </w:rPr>
        <w:t xml:space="preserve">the </w:t>
      </w:r>
      <w:r w:rsidR="00903054" w:rsidRPr="00080BE4">
        <w:rPr>
          <w:rFonts w:ascii="Times New Roman" w:hAnsi="Times New Roman" w:cs="Times New Roman"/>
          <w:lang w:val="en-US"/>
        </w:rPr>
        <w:t>human pathogenic</w:t>
      </w:r>
      <w:r w:rsidR="00C77455" w:rsidRPr="00080BE4">
        <w:rPr>
          <w:rFonts w:ascii="Times New Roman" w:hAnsi="Times New Roman" w:cs="Times New Roman"/>
          <w:lang w:val="en-US"/>
        </w:rPr>
        <w:t xml:space="preserve"> allele (red circles) and to other amino acids (green circles) on the 4350-species phylogeny.</w:t>
      </w:r>
      <w:r w:rsidR="009679F7" w:rsidRPr="00080BE4">
        <w:rPr>
          <w:rFonts w:ascii="Times New Roman" w:hAnsi="Times New Roman" w:cs="Times New Roman"/>
          <w:lang w:val="en-US"/>
        </w:rPr>
        <w:t xml:space="preserve"> a, site 156 of ATP6; b, site 217 of ATP6; c, site 220 of ATP6; d, site 278 of CYTB;</w:t>
      </w:r>
      <w:r w:rsidR="000B3005">
        <w:rPr>
          <w:rFonts w:ascii="Times New Roman" w:hAnsi="Times New Roman" w:cs="Times New Roman"/>
          <w:lang w:val="en-US"/>
        </w:rPr>
        <w:t xml:space="preserve"> e,</w:t>
      </w:r>
      <w:r w:rsidR="009679F7" w:rsidRPr="00080BE4">
        <w:rPr>
          <w:rFonts w:ascii="Times New Roman" w:hAnsi="Times New Roman" w:cs="Times New Roman"/>
          <w:lang w:val="en-US"/>
        </w:rPr>
        <w:t xml:space="preserve"> site 35 of CYTB; </w:t>
      </w:r>
      <w:r w:rsidR="000B3005">
        <w:rPr>
          <w:rFonts w:ascii="Times New Roman" w:hAnsi="Times New Roman" w:cs="Times New Roman"/>
          <w:lang w:val="en-US"/>
        </w:rPr>
        <w:t>f,</w:t>
      </w:r>
      <w:r w:rsidR="009679F7" w:rsidRPr="00080BE4">
        <w:rPr>
          <w:rFonts w:ascii="Times New Roman" w:hAnsi="Times New Roman" w:cs="Times New Roman"/>
          <w:lang w:val="en-US"/>
        </w:rPr>
        <w:t xml:space="preserve">site 40 of CYTB. </w:t>
      </w:r>
      <w:r w:rsidR="00C77455" w:rsidRPr="00080BE4">
        <w:rPr>
          <w:rFonts w:ascii="Times New Roman" w:hAnsi="Times New Roman" w:cs="Times New Roman"/>
          <w:lang w:val="en-US"/>
        </w:rPr>
        <w:t xml:space="preserve">Blue star, </w:t>
      </w:r>
      <w:r w:rsidR="00AE2281" w:rsidRPr="00080BE4">
        <w:rPr>
          <w:rFonts w:ascii="Times New Roman" w:hAnsi="Times New Roman" w:cs="Times New Roman"/>
          <w:i/>
          <w:lang w:val="en-US"/>
        </w:rPr>
        <w:t>H. sapiens</w:t>
      </w:r>
    </w:p>
    <w:p w:rsidR="00F91F63" w:rsidRDefault="00F91F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F91F63" w:rsidRPr="00F91F63" w:rsidRDefault="00F91F63" w:rsidP="00F91F63">
      <w:pPr>
        <w:spacing w:line="360" w:lineRule="auto"/>
        <w:ind w:right="566"/>
        <w:jc w:val="both"/>
        <w:rPr>
          <w:rFonts w:ascii="Times New Roman" w:hAnsi="Times New Roman" w:cs="Times New Roman"/>
          <w:lang w:val="en-US"/>
        </w:rPr>
      </w:pPr>
    </w:p>
    <w:p w:rsidR="000B39CE" w:rsidRPr="00080BE4" w:rsidRDefault="000B39CE" w:rsidP="00F91F63">
      <w:pPr>
        <w:tabs>
          <w:tab w:val="left" w:pos="4719"/>
        </w:tabs>
        <w:spacing w:line="360" w:lineRule="auto"/>
        <w:ind w:right="566"/>
        <w:jc w:val="both"/>
        <w:rPr>
          <w:rFonts w:ascii="Times New Roman" w:hAnsi="Times New Roman" w:cs="Times New Roman"/>
          <w:lang w:val="en-US"/>
        </w:rPr>
      </w:pPr>
      <w:r w:rsidRPr="00080BE4">
        <w:rPr>
          <w:rFonts w:ascii="Times New Roman" w:hAnsi="Times New Roman" w:cs="Times New Roman"/>
          <w:b/>
          <w:lang w:val="en-US"/>
        </w:rPr>
        <w:t xml:space="preserve">Table </w:t>
      </w:r>
      <w:r w:rsidR="00C653CF">
        <w:rPr>
          <w:rFonts w:ascii="Times New Roman" w:hAnsi="Times New Roman" w:cs="Times New Roman"/>
          <w:b/>
          <w:lang w:val="en-US"/>
        </w:rPr>
        <w:t>S</w:t>
      </w:r>
      <w:r w:rsidRPr="00080BE4">
        <w:rPr>
          <w:rFonts w:ascii="Times New Roman" w:hAnsi="Times New Roman" w:cs="Times New Roman"/>
          <w:b/>
          <w:lang w:val="en-US"/>
        </w:rPr>
        <w:t xml:space="preserve">1. </w:t>
      </w:r>
      <w:proofErr w:type="spellStart"/>
      <w:r w:rsidRPr="00080BE4">
        <w:rPr>
          <w:rFonts w:ascii="Times New Roman" w:hAnsi="Times New Roman" w:cs="Times New Roman"/>
          <w:lang w:val="en-US"/>
        </w:rPr>
        <w:t>Homoplasies</w:t>
      </w:r>
      <w:proofErr w:type="spellEnd"/>
      <w:r w:rsidRPr="00080BE4">
        <w:rPr>
          <w:rFonts w:ascii="Times New Roman" w:hAnsi="Times New Roman" w:cs="Times New Roman"/>
          <w:lang w:val="en-US"/>
        </w:rPr>
        <w:t xml:space="preserve"> giving rise to the human reference allele.</w:t>
      </w:r>
    </w:p>
    <w:tbl>
      <w:tblPr>
        <w:tblStyle w:val="a5"/>
        <w:tblW w:w="93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97"/>
        <w:gridCol w:w="1281"/>
        <w:gridCol w:w="873"/>
        <w:gridCol w:w="1172"/>
        <w:gridCol w:w="1535"/>
        <w:gridCol w:w="1135"/>
      </w:tblGrid>
      <w:tr w:rsidR="000B39CE" w:rsidRPr="00C653CF" w:rsidTr="00363136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Gene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Species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Sites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9CE" w:rsidRPr="00B06367" w:rsidRDefault="00380231" w:rsidP="008B094F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Analyzed sites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Substitutions to </w:t>
            </w:r>
            <w:r w:rsidR="00D21F4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the </w:t>
            </w: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human amino acid per site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Substitutions to </w:t>
            </w:r>
            <w:r w:rsidR="00E85B3D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the </w:t>
            </w: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human amino acid per site in simulation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ATP6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COX1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404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ind w:right="7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COX2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COX3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198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CYTB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327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29.7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ND1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253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ND2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ND3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392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263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ND4L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19.6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ND5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516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</w:tr>
      <w:tr w:rsidR="000B39CE" w:rsidRPr="004D1D8B" w:rsidTr="00363136">
        <w:trPr>
          <w:jc w:val="center"/>
        </w:trPr>
        <w:tc>
          <w:tcPr>
            <w:tcW w:w="3397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ND6</w:t>
            </w:r>
          </w:p>
        </w:tc>
        <w:tc>
          <w:tcPr>
            <w:tcW w:w="1281" w:type="dxa"/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1172" w:type="dxa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5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1135" w:type="dxa"/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</w:tr>
      <w:tr w:rsidR="000B39CE" w:rsidRPr="0079170B" w:rsidTr="00363136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ATP6+COX1+COX2+COX3+CYTB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B39CE" w:rsidRPr="00B06367" w:rsidRDefault="000B39CE" w:rsidP="00363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Opisthokonts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964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30.2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0B39CE" w:rsidRPr="00B06367" w:rsidRDefault="000B39CE" w:rsidP="003631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24.4</w:t>
            </w:r>
          </w:p>
        </w:tc>
      </w:tr>
    </w:tbl>
    <w:p w:rsidR="000B39CE" w:rsidRPr="00604054" w:rsidRDefault="000B39CE" w:rsidP="000B39CE">
      <w:pPr>
        <w:tabs>
          <w:tab w:val="left" w:pos="4719"/>
        </w:tabs>
        <w:spacing w:line="48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39CE" w:rsidRPr="00604054" w:rsidRDefault="000B39CE" w:rsidP="000B39CE">
      <w:pPr>
        <w:spacing w:line="48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39CE" w:rsidRPr="00080BE4" w:rsidRDefault="000B39CE" w:rsidP="00080BE4">
      <w:pPr>
        <w:tabs>
          <w:tab w:val="left" w:pos="4719"/>
        </w:tabs>
        <w:spacing w:line="360" w:lineRule="auto"/>
        <w:ind w:left="-284" w:right="566" w:firstLine="568"/>
        <w:jc w:val="both"/>
        <w:rPr>
          <w:rFonts w:ascii="Times New Roman" w:hAnsi="Times New Roman" w:cs="Times New Roman"/>
          <w:lang w:val="en-US"/>
        </w:rPr>
      </w:pPr>
      <w:r w:rsidRPr="00080BE4">
        <w:rPr>
          <w:rFonts w:ascii="Times New Roman" w:hAnsi="Times New Roman" w:cs="Times New Roman"/>
          <w:b/>
          <w:lang w:val="en-US"/>
        </w:rPr>
        <w:t xml:space="preserve">Table </w:t>
      </w:r>
      <w:r w:rsidR="00C653CF">
        <w:rPr>
          <w:rFonts w:ascii="Times New Roman" w:hAnsi="Times New Roman" w:cs="Times New Roman"/>
          <w:b/>
          <w:lang w:val="en-US"/>
        </w:rPr>
        <w:t>S</w:t>
      </w:r>
      <w:r w:rsidRPr="00080BE4">
        <w:rPr>
          <w:rFonts w:ascii="Times New Roman" w:hAnsi="Times New Roman" w:cs="Times New Roman"/>
          <w:b/>
          <w:lang w:val="en-US"/>
        </w:rPr>
        <w:t xml:space="preserve">2. </w:t>
      </w:r>
      <w:proofErr w:type="spellStart"/>
      <w:r w:rsidRPr="00080BE4">
        <w:rPr>
          <w:rFonts w:ascii="Times New Roman" w:hAnsi="Times New Roman" w:cs="Times New Roman"/>
          <w:lang w:val="en-US"/>
        </w:rPr>
        <w:t>Homoplasies</w:t>
      </w:r>
      <w:proofErr w:type="spellEnd"/>
      <w:r w:rsidRPr="00080BE4">
        <w:rPr>
          <w:rFonts w:ascii="Times New Roman" w:hAnsi="Times New Roman" w:cs="Times New Roman"/>
          <w:lang w:val="en-US"/>
        </w:rPr>
        <w:t xml:space="preserve"> giving rise to the human </w:t>
      </w:r>
      <w:r w:rsidR="00EE2877" w:rsidRPr="00080BE4">
        <w:rPr>
          <w:rFonts w:ascii="Times New Roman" w:hAnsi="Times New Roman" w:cs="Times New Roman"/>
          <w:lang w:val="en-US"/>
        </w:rPr>
        <w:t>non-reference</w:t>
      </w:r>
      <w:r w:rsidRPr="00080BE4">
        <w:rPr>
          <w:rFonts w:ascii="Times New Roman" w:hAnsi="Times New Roman" w:cs="Times New Roman"/>
          <w:lang w:val="en-US"/>
        </w:rPr>
        <w:t xml:space="preserve"> allele.</w:t>
      </w:r>
    </w:p>
    <w:tbl>
      <w:tblPr>
        <w:tblStyle w:val="a5"/>
        <w:tblW w:w="5306" w:type="pct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226"/>
        <w:gridCol w:w="1259"/>
        <w:gridCol w:w="1300"/>
        <w:gridCol w:w="1706"/>
        <w:gridCol w:w="1248"/>
      </w:tblGrid>
      <w:tr w:rsidR="000B39CE" w:rsidRPr="00C653CF" w:rsidTr="003C615A"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Gene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Species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Polymorphic sites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9CE" w:rsidRPr="00AB4D25" w:rsidRDefault="003C615A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Analyzed sites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9CE" w:rsidRPr="00AB4D25" w:rsidRDefault="000B39CE" w:rsidP="00D8567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Substitutions </w:t>
            </w:r>
            <w:r w:rsidRPr="00AB4D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to the human </w:t>
            </w:r>
            <w:r w:rsidR="00EE2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non-reference </w:t>
            </w:r>
            <w:r w:rsidRPr="00AB4D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allele per </w:t>
            </w:r>
            <w:r w:rsidR="002142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non-reference allele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9CE" w:rsidRPr="00AB4D25" w:rsidRDefault="000B39CE" w:rsidP="001E05A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Mean no. of  </w:t>
            </w:r>
            <w:r w:rsidR="001E05A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non-reference</w:t>
            </w: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 alleles per polymorphic site</w:t>
            </w:r>
          </w:p>
        </w:tc>
      </w:tr>
      <w:tr w:rsidR="000B39CE" w:rsidRPr="002B70D0" w:rsidTr="00363136">
        <w:tc>
          <w:tcPr>
            <w:tcW w:w="1416" w:type="pct"/>
            <w:tcBorders>
              <w:top w:val="single" w:sz="4" w:space="0" w:color="auto"/>
            </w:tcBorders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ATP6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</w:tr>
      <w:tr w:rsidR="000B39CE" w:rsidRPr="002B70D0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COX1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</w:tr>
      <w:tr w:rsidR="000B39CE" w:rsidRPr="002B70D0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COX2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</w:tr>
      <w:tr w:rsidR="000B39CE" w:rsidRPr="002B70D0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COX3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93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0B39CE" w:rsidRPr="002B70D0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CYTB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</w:tr>
      <w:tr w:rsidR="000B39CE" w:rsidRPr="002B70D0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ND1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88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  <w:tr w:rsidR="000B39CE" w:rsidRPr="002B70D0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ND2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0B39CE" w:rsidRPr="009F5262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ND3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0B39CE" w:rsidRPr="009F5262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</w:tr>
      <w:tr w:rsidR="000B39CE" w:rsidRPr="009F5262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ND4L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  <w:tr w:rsidR="000B39CE" w:rsidRPr="009F5262" w:rsidTr="00363136">
        <w:trPr>
          <w:trHeight w:val="195"/>
        </w:trPr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ND5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223</w:t>
            </w:r>
          </w:p>
        </w:tc>
        <w:tc>
          <w:tcPr>
            <w:tcW w:w="726" w:type="pct"/>
          </w:tcPr>
          <w:p w:rsidR="000B39CE" w:rsidRPr="008E725D" w:rsidRDefault="000B39CE" w:rsidP="0036313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0B39CE" w:rsidRPr="009F5262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ND6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2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  <w:tr w:rsidR="000B39CE" w:rsidRPr="009F5262" w:rsidTr="00363136">
        <w:tc>
          <w:tcPr>
            <w:tcW w:w="141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ATP6+COX1+COX2+COX3+CYTB</w:t>
            </w:r>
          </w:p>
        </w:tc>
        <w:tc>
          <w:tcPr>
            <w:tcW w:w="649" w:type="pct"/>
          </w:tcPr>
          <w:p w:rsidR="000B39CE" w:rsidRPr="00AB4D25" w:rsidRDefault="000B39CE" w:rsidP="0036313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Opisthokonts</w:t>
            </w:r>
          </w:p>
        </w:tc>
        <w:tc>
          <w:tcPr>
            <w:tcW w:w="651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775</w:t>
            </w:r>
          </w:p>
        </w:tc>
        <w:tc>
          <w:tcPr>
            <w:tcW w:w="726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</w:t>
            </w:r>
          </w:p>
        </w:tc>
        <w:tc>
          <w:tcPr>
            <w:tcW w:w="903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32.2</w:t>
            </w:r>
          </w:p>
        </w:tc>
        <w:tc>
          <w:tcPr>
            <w:tcW w:w="655" w:type="pct"/>
          </w:tcPr>
          <w:p w:rsidR="000B39CE" w:rsidRPr="00AB4D25" w:rsidRDefault="000B39CE" w:rsidP="0036313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</w:tbl>
    <w:p w:rsidR="000B39CE" w:rsidRDefault="000B39CE" w:rsidP="000B39CE">
      <w:pPr>
        <w:spacing w:line="48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39CE" w:rsidRDefault="000B39CE" w:rsidP="000B39CE">
      <w:pPr>
        <w:spacing w:line="48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39CE" w:rsidRPr="00604054" w:rsidRDefault="000B39CE" w:rsidP="000B39CE">
      <w:pPr>
        <w:spacing w:line="48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39CE" w:rsidRPr="00080BE4" w:rsidRDefault="000B39CE" w:rsidP="00080BE4">
      <w:pPr>
        <w:tabs>
          <w:tab w:val="left" w:pos="4719"/>
        </w:tabs>
        <w:spacing w:line="360" w:lineRule="auto"/>
        <w:ind w:left="-284" w:right="566" w:firstLine="568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80BE4">
        <w:rPr>
          <w:rFonts w:ascii="Times New Roman" w:hAnsi="Times New Roman" w:cs="Times New Roman"/>
          <w:b/>
          <w:lang w:val="en-US"/>
        </w:rPr>
        <w:lastRenderedPageBreak/>
        <w:t xml:space="preserve">Table </w:t>
      </w:r>
      <w:r w:rsidR="00C653CF">
        <w:rPr>
          <w:rFonts w:ascii="Times New Roman" w:hAnsi="Times New Roman" w:cs="Times New Roman"/>
          <w:b/>
          <w:lang w:val="en-US"/>
        </w:rPr>
        <w:t>S</w:t>
      </w:r>
      <w:r w:rsidRPr="00080BE4">
        <w:rPr>
          <w:rFonts w:ascii="Times New Roman" w:hAnsi="Times New Roman" w:cs="Times New Roman"/>
          <w:b/>
          <w:lang w:val="en-US"/>
        </w:rPr>
        <w:t xml:space="preserve">3. </w:t>
      </w:r>
      <w:proofErr w:type="spellStart"/>
      <w:r w:rsidRPr="00080BE4">
        <w:rPr>
          <w:rFonts w:ascii="Times New Roman" w:hAnsi="Times New Roman" w:cs="Times New Roman"/>
          <w:lang w:val="en-US"/>
        </w:rPr>
        <w:t>Homoplasies</w:t>
      </w:r>
      <w:proofErr w:type="spellEnd"/>
      <w:r w:rsidRPr="00080BE4">
        <w:rPr>
          <w:rFonts w:ascii="Times New Roman" w:hAnsi="Times New Roman" w:cs="Times New Roman"/>
          <w:lang w:val="en-US"/>
        </w:rPr>
        <w:t xml:space="preserve"> giving rise to the human pathogenic variants.</w:t>
      </w:r>
    </w:p>
    <w:tbl>
      <w:tblPr>
        <w:tblStyle w:val="a5"/>
        <w:tblW w:w="949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1170"/>
        <w:gridCol w:w="744"/>
        <w:gridCol w:w="1554"/>
        <w:gridCol w:w="1418"/>
        <w:gridCol w:w="1276"/>
      </w:tblGrid>
      <w:tr w:rsidR="000B39CE" w:rsidRPr="00C653CF" w:rsidTr="009526A0">
        <w:trPr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Gene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Species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B39CE" w:rsidRPr="00851AC8" w:rsidRDefault="000B39CE" w:rsidP="00670DD9">
            <w:pPr>
              <w:ind w:left="-113" w:right="-113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Sites with </w:t>
            </w:r>
            <w:r w:rsidR="00670DD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 pathogenic allele</w:t>
            </w:r>
            <w:r w:rsidR="00BD75F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B39CE" w:rsidRPr="00851AC8" w:rsidRDefault="00670DD9" w:rsidP="00363136">
            <w:pPr>
              <w:ind w:left="-113" w:right="-113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Analyzed sites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9CE" w:rsidRPr="00F2274E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2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Substitutions to</w:t>
            </w:r>
          </w:p>
          <w:p w:rsidR="000B39CE" w:rsidRPr="00F2274E" w:rsidRDefault="000B39CE" w:rsidP="00F2274E">
            <w:pPr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2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="00F2274E" w:rsidRPr="00F22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human pathogenic amino acid per pathogenic amino acid</w:t>
            </w:r>
            <w:r w:rsidRPr="00F22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2274E" w:rsidRPr="00F22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9CE" w:rsidRPr="00F2274E" w:rsidRDefault="000B39CE" w:rsidP="00F2274E">
            <w:pPr>
              <w:ind w:left="-113" w:right="-113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F2274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Mean no. of </w:t>
            </w:r>
            <w:r w:rsidR="00F2274E" w:rsidRPr="00F2274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pathogenic amino acids per site with pathogenic alleles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  <w:tcBorders>
              <w:top w:val="single" w:sz="4" w:space="0" w:color="auto"/>
            </w:tcBorders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ATP6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COX1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COX2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COX3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CYTB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ND1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ND2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ND3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ND4L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ND5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0B39CE" w:rsidRPr="008F078D" w:rsidTr="009526A0">
        <w:trPr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ND6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54" w:type="dxa"/>
            <w:vAlign w:val="center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276" w:type="dxa"/>
            <w:vAlign w:val="center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0B39CE" w:rsidRPr="008F078D" w:rsidTr="009526A0">
        <w:trPr>
          <w:trHeight w:val="395"/>
          <w:jc w:val="center"/>
        </w:trPr>
        <w:tc>
          <w:tcPr>
            <w:tcW w:w="3331" w:type="dxa"/>
          </w:tcPr>
          <w:p w:rsidR="000B39CE" w:rsidRPr="00851AC8" w:rsidRDefault="000B39CE" w:rsidP="00363136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ATP6+COX1+COX2+ COX3+CYTB</w:t>
            </w:r>
          </w:p>
        </w:tc>
        <w:tc>
          <w:tcPr>
            <w:tcW w:w="1170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 xml:space="preserve">Opisthokonts     </w:t>
            </w:r>
          </w:p>
        </w:tc>
        <w:tc>
          <w:tcPr>
            <w:tcW w:w="744" w:type="dxa"/>
          </w:tcPr>
          <w:p w:rsidR="000B39CE" w:rsidRPr="00851AC8" w:rsidRDefault="000B39CE" w:rsidP="00363136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554" w:type="dxa"/>
          </w:tcPr>
          <w:p w:rsidR="000B39CE" w:rsidRPr="00851AC8" w:rsidRDefault="000B39CE" w:rsidP="0036313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0B39CE" w:rsidRPr="00851AC8" w:rsidRDefault="000B39CE" w:rsidP="00363136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25.0</w:t>
            </w:r>
          </w:p>
        </w:tc>
        <w:tc>
          <w:tcPr>
            <w:tcW w:w="1276" w:type="dxa"/>
          </w:tcPr>
          <w:p w:rsidR="000B39CE" w:rsidRPr="00851AC8" w:rsidRDefault="000B39CE" w:rsidP="00363136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</w:tbl>
    <w:p w:rsidR="000B39CE" w:rsidRDefault="000B39CE" w:rsidP="000B39CE">
      <w:pPr>
        <w:spacing w:line="240" w:lineRule="auto"/>
        <w:ind w:left="-284" w:right="566" w:firstLine="568"/>
        <w:jc w:val="both"/>
      </w:pPr>
    </w:p>
    <w:p w:rsidR="0064784D" w:rsidRDefault="0064784D" w:rsidP="0086010D">
      <w:pPr>
        <w:spacing w:line="48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F68" w:rsidRPr="00817046" w:rsidRDefault="00A94F68" w:rsidP="0086010D">
      <w:pPr>
        <w:spacing w:line="48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4F68" w:rsidRPr="0081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2639"/>
    <w:multiLevelType w:val="hybridMultilevel"/>
    <w:tmpl w:val="EBCEDE1C"/>
    <w:lvl w:ilvl="0" w:tplc="37763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72E"/>
    <w:multiLevelType w:val="hybridMultilevel"/>
    <w:tmpl w:val="35521860"/>
    <w:lvl w:ilvl="0" w:tplc="510EE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9"/>
    <w:rsid w:val="00014FC8"/>
    <w:rsid w:val="00062BD5"/>
    <w:rsid w:val="00080BE4"/>
    <w:rsid w:val="00095333"/>
    <w:rsid w:val="000B3005"/>
    <w:rsid w:val="000B39CE"/>
    <w:rsid w:val="000C061D"/>
    <w:rsid w:val="000C1FAF"/>
    <w:rsid w:val="000C2F39"/>
    <w:rsid w:val="00134049"/>
    <w:rsid w:val="001E05A1"/>
    <w:rsid w:val="0021421B"/>
    <w:rsid w:val="00220718"/>
    <w:rsid w:val="00221A05"/>
    <w:rsid w:val="002959E1"/>
    <w:rsid w:val="002A1CFF"/>
    <w:rsid w:val="002B2235"/>
    <w:rsid w:val="002C38F2"/>
    <w:rsid w:val="00337E1E"/>
    <w:rsid w:val="00380231"/>
    <w:rsid w:val="003C615A"/>
    <w:rsid w:val="003D46E4"/>
    <w:rsid w:val="00457C70"/>
    <w:rsid w:val="0048791C"/>
    <w:rsid w:val="004D0DD1"/>
    <w:rsid w:val="004D47A4"/>
    <w:rsid w:val="004F598C"/>
    <w:rsid w:val="00586D5F"/>
    <w:rsid w:val="005A02F4"/>
    <w:rsid w:val="005A591D"/>
    <w:rsid w:val="00604788"/>
    <w:rsid w:val="0062343B"/>
    <w:rsid w:val="0064784D"/>
    <w:rsid w:val="00656C56"/>
    <w:rsid w:val="00670DD9"/>
    <w:rsid w:val="00677D9F"/>
    <w:rsid w:val="006C2249"/>
    <w:rsid w:val="007D1EF0"/>
    <w:rsid w:val="00817046"/>
    <w:rsid w:val="00845EA9"/>
    <w:rsid w:val="008470A8"/>
    <w:rsid w:val="0086010D"/>
    <w:rsid w:val="008B094F"/>
    <w:rsid w:val="008B2103"/>
    <w:rsid w:val="008E178D"/>
    <w:rsid w:val="00903054"/>
    <w:rsid w:val="009526A0"/>
    <w:rsid w:val="00954AEA"/>
    <w:rsid w:val="009679F7"/>
    <w:rsid w:val="009A54F6"/>
    <w:rsid w:val="009B454D"/>
    <w:rsid w:val="009D3D14"/>
    <w:rsid w:val="00A25BFA"/>
    <w:rsid w:val="00A4635C"/>
    <w:rsid w:val="00A66881"/>
    <w:rsid w:val="00A94F68"/>
    <w:rsid w:val="00AC1878"/>
    <w:rsid w:val="00AE2281"/>
    <w:rsid w:val="00B474B9"/>
    <w:rsid w:val="00B71E89"/>
    <w:rsid w:val="00B7228A"/>
    <w:rsid w:val="00BC72EE"/>
    <w:rsid w:val="00BD75F8"/>
    <w:rsid w:val="00C00D13"/>
    <w:rsid w:val="00C0783D"/>
    <w:rsid w:val="00C11B1D"/>
    <w:rsid w:val="00C653CF"/>
    <w:rsid w:val="00C72F59"/>
    <w:rsid w:val="00C77455"/>
    <w:rsid w:val="00CD5475"/>
    <w:rsid w:val="00CE0560"/>
    <w:rsid w:val="00CF4F2C"/>
    <w:rsid w:val="00D21F45"/>
    <w:rsid w:val="00D33989"/>
    <w:rsid w:val="00D549CF"/>
    <w:rsid w:val="00D66DFC"/>
    <w:rsid w:val="00D8567C"/>
    <w:rsid w:val="00DA00B4"/>
    <w:rsid w:val="00DA791D"/>
    <w:rsid w:val="00DC6350"/>
    <w:rsid w:val="00DD2D15"/>
    <w:rsid w:val="00E26530"/>
    <w:rsid w:val="00E33369"/>
    <w:rsid w:val="00E467F0"/>
    <w:rsid w:val="00E65022"/>
    <w:rsid w:val="00E85B3D"/>
    <w:rsid w:val="00EB6F45"/>
    <w:rsid w:val="00ED36E1"/>
    <w:rsid w:val="00EE2877"/>
    <w:rsid w:val="00F2274E"/>
    <w:rsid w:val="00F73DA4"/>
    <w:rsid w:val="00F91F63"/>
    <w:rsid w:val="00FF0B23"/>
    <w:rsid w:val="00FF3022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177-FAE5-4B00-B977-F94D137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7455"/>
    <w:pPr>
      <w:ind w:left="720"/>
      <w:contextualSpacing/>
    </w:pPr>
  </w:style>
  <w:style w:type="table" w:styleId="a5">
    <w:name w:val="Table Grid"/>
    <w:basedOn w:val="a1"/>
    <w:uiPriority w:val="39"/>
    <w:rsid w:val="000B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galka</dc:creator>
  <cp:keywords/>
  <dc:description/>
  <cp:lastModifiedBy>galka</cp:lastModifiedBy>
  <cp:revision>109</cp:revision>
  <dcterms:created xsi:type="dcterms:W3CDTF">2016-05-06T16:04:00Z</dcterms:created>
  <dcterms:modified xsi:type="dcterms:W3CDTF">2017-08-14T10:47:00Z</dcterms:modified>
</cp:coreProperties>
</file>