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E2" w:rsidRPr="009D530E" w:rsidRDefault="00E821E2" w:rsidP="00E821E2">
      <w:pPr>
        <w:spacing w:after="0" w:line="480" w:lineRule="auto"/>
        <w:jc w:val="both"/>
        <w:rPr>
          <w:rFonts w:ascii="Times New Roman" w:eastAsia="Times New Roman" w:hAnsi="Times New Roman"/>
          <w:b/>
          <w:lang w:val="en-US" w:eastAsia="es-CO"/>
        </w:rPr>
      </w:pPr>
      <w:r w:rsidRPr="009D530E">
        <w:rPr>
          <w:rFonts w:ascii="Times New Roman" w:eastAsia="Times New Roman" w:hAnsi="Times New Roman"/>
          <w:b/>
          <w:lang w:val="en-US" w:eastAsia="es-CO"/>
        </w:rPr>
        <w:t>Supplementary material</w:t>
      </w:r>
    </w:p>
    <w:p w:rsidR="00E821E2" w:rsidRPr="009D530E" w:rsidRDefault="00E821E2" w:rsidP="00E821E2">
      <w:pPr>
        <w:spacing w:after="0" w:line="480" w:lineRule="auto"/>
        <w:jc w:val="both"/>
        <w:rPr>
          <w:rFonts w:ascii="Times New Roman" w:eastAsia="Times New Roman" w:hAnsi="Times New Roman"/>
          <w:lang w:val="en-US" w:eastAsia="es-CO"/>
        </w:rPr>
      </w:pPr>
      <w:r w:rsidRPr="009D530E">
        <w:rPr>
          <w:rFonts w:ascii="Times New Roman" w:eastAsia="Times New Roman" w:hAnsi="Times New Roman"/>
          <w:b/>
          <w:lang w:val="en-US" w:eastAsia="es-CO"/>
        </w:rPr>
        <w:t>Table S1</w:t>
      </w:r>
      <w:r w:rsidRPr="009D530E">
        <w:rPr>
          <w:rFonts w:ascii="Times New Roman" w:eastAsia="Times New Roman" w:hAnsi="Times New Roman"/>
          <w:lang w:val="en-US" w:eastAsia="es-CO"/>
        </w:rPr>
        <w:t xml:space="preserve">: Summary of the results of independent one-way ANOVAs evaluating the effect of latitudinal origin (either population or temperature) on anatomical foliar traits and xanthophyll cycle pigment content of </w:t>
      </w:r>
      <w:r w:rsidRPr="009D530E">
        <w:rPr>
          <w:rFonts w:ascii="Times New Roman" w:eastAsia="Times New Roman" w:hAnsi="Times New Roman"/>
          <w:i/>
          <w:lang w:val="en-US" w:eastAsia="es-CO"/>
        </w:rPr>
        <w:t xml:space="preserve">C. quitensis </w:t>
      </w:r>
      <w:r w:rsidRPr="009D530E">
        <w:rPr>
          <w:rFonts w:ascii="Times New Roman" w:eastAsia="Times New Roman" w:hAnsi="Times New Roman"/>
          <w:lang w:val="en-US" w:eastAsia="es-CO"/>
        </w:rPr>
        <w:t>individuals sampled in the field. The net photosynthetic performance (measured as net photosynthesis rate) is shown under each thermal condition and population in common gardens and the ecophysiological responses to the simulated global warming expressed as the delta values between future and current individual values.</w:t>
      </w:r>
    </w:p>
    <w:p w:rsidR="00E821E2" w:rsidRPr="009D530E" w:rsidRDefault="00E821E2" w:rsidP="00E821E2">
      <w:pPr>
        <w:spacing w:after="0" w:line="480" w:lineRule="auto"/>
        <w:jc w:val="both"/>
        <w:rPr>
          <w:rFonts w:ascii="Times New Roman" w:eastAsia="Times New Roman" w:hAnsi="Times New Roman"/>
          <w:lang w:val="en-US" w:eastAsia="es-CO"/>
        </w:rPr>
      </w:pPr>
    </w:p>
    <w:tbl>
      <w:tblPr>
        <w:tblW w:w="8603" w:type="dxa"/>
        <w:jc w:val="center"/>
        <w:tblCellMar>
          <w:top w:w="15" w:type="dxa"/>
          <w:left w:w="15" w:type="dxa"/>
          <w:bottom w:w="15" w:type="dxa"/>
          <w:right w:w="15" w:type="dxa"/>
        </w:tblCellMar>
        <w:tblLook w:val="04A0" w:firstRow="1" w:lastRow="0" w:firstColumn="1" w:lastColumn="0" w:noHBand="0" w:noVBand="1"/>
      </w:tblPr>
      <w:tblGrid>
        <w:gridCol w:w="3061"/>
        <w:gridCol w:w="1528"/>
        <w:gridCol w:w="793"/>
        <w:gridCol w:w="750"/>
        <w:gridCol w:w="836"/>
        <w:gridCol w:w="836"/>
        <w:gridCol w:w="799"/>
      </w:tblGrid>
      <w:tr w:rsidR="00E821E2" w:rsidRPr="009D530E" w:rsidTr="00543CE6">
        <w:trPr>
          <w:jc w:val="center"/>
        </w:trPr>
        <w:tc>
          <w:tcPr>
            <w:tcW w:w="3061" w:type="dxa"/>
            <w:tcBorders>
              <w:top w:val="single" w:sz="4" w:space="0" w:color="auto"/>
              <w:bottom w:val="single" w:sz="4" w:space="0" w:color="auto"/>
            </w:tcBorders>
            <w:tcMar>
              <w:top w:w="75" w:type="dxa"/>
              <w:left w:w="75" w:type="dxa"/>
              <w:bottom w:w="75" w:type="dxa"/>
              <w:right w:w="75" w:type="dxa"/>
            </w:tcMar>
            <w:vAlign w:val="center"/>
          </w:tcPr>
          <w:p w:rsidR="00E821E2" w:rsidRPr="009D530E" w:rsidRDefault="00E821E2" w:rsidP="00543CE6">
            <w:pPr>
              <w:spacing w:after="0"/>
              <w:ind w:hanging="22"/>
              <w:rPr>
                <w:rFonts w:ascii="Times New Roman" w:eastAsia="Times New Roman" w:hAnsi="Times New Roman" w:cs="Arial"/>
                <w:b/>
                <w:sz w:val="20"/>
                <w:szCs w:val="20"/>
                <w:lang w:val="en-US" w:eastAsia="es-CO"/>
              </w:rPr>
            </w:pPr>
            <w:r w:rsidRPr="009D530E">
              <w:rPr>
                <w:rFonts w:ascii="Times New Roman" w:eastAsia="Times New Roman" w:hAnsi="Times New Roman"/>
                <w:b/>
                <w:sz w:val="20"/>
                <w:szCs w:val="20"/>
                <w:lang w:val="en-US" w:eastAsia="es-CO"/>
              </w:rPr>
              <w:t>Trait</w:t>
            </w:r>
          </w:p>
        </w:tc>
        <w:tc>
          <w:tcPr>
            <w:tcW w:w="1528" w:type="dxa"/>
            <w:tcBorders>
              <w:top w:val="single" w:sz="4" w:space="0" w:color="auto"/>
              <w:bottom w:val="single" w:sz="4" w:space="0" w:color="auto"/>
            </w:tcBorders>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sz w:val="20"/>
                <w:szCs w:val="20"/>
                <w:lang w:val="en-US" w:eastAsia="es-CO"/>
              </w:rPr>
            </w:pPr>
            <w:r w:rsidRPr="009D530E">
              <w:rPr>
                <w:rFonts w:ascii="Times New Roman" w:eastAsia="Times New Roman" w:hAnsi="Times New Roman"/>
                <w:b/>
                <w:sz w:val="20"/>
                <w:szCs w:val="20"/>
                <w:lang w:val="en-US" w:eastAsia="es-CO"/>
              </w:rPr>
              <w:t>Factor</w:t>
            </w:r>
          </w:p>
        </w:tc>
        <w:tc>
          <w:tcPr>
            <w:tcW w:w="793" w:type="dxa"/>
            <w:tcBorders>
              <w:top w:val="single" w:sz="4" w:space="0" w:color="auto"/>
              <w:bottom w:val="single" w:sz="4" w:space="0" w:color="auto"/>
            </w:tcBorders>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proofErr w:type="spellStart"/>
            <w:proofErr w:type="gramStart"/>
            <w:r w:rsidRPr="009D530E">
              <w:rPr>
                <w:rFonts w:ascii="Times New Roman" w:eastAsia="Times New Roman" w:hAnsi="Times New Roman"/>
                <w:b/>
                <w:i/>
                <w:sz w:val="20"/>
                <w:szCs w:val="20"/>
                <w:lang w:val="en-US" w:eastAsia="es-CO"/>
              </w:rPr>
              <w:t>df</w:t>
            </w:r>
            <w:proofErr w:type="spellEnd"/>
            <w:proofErr w:type="gramEnd"/>
          </w:p>
        </w:tc>
        <w:tc>
          <w:tcPr>
            <w:tcW w:w="750" w:type="dxa"/>
            <w:tcBorders>
              <w:top w:val="single" w:sz="4" w:space="0" w:color="auto"/>
              <w:bottom w:val="single" w:sz="4" w:space="0" w:color="auto"/>
            </w:tcBorders>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b/>
                <w:i/>
                <w:sz w:val="20"/>
                <w:szCs w:val="20"/>
                <w:lang w:val="en-US" w:eastAsia="es-CO"/>
              </w:rPr>
              <w:t>SS</w:t>
            </w:r>
          </w:p>
        </w:tc>
        <w:tc>
          <w:tcPr>
            <w:tcW w:w="836" w:type="dxa"/>
            <w:tcBorders>
              <w:top w:val="single" w:sz="4" w:space="0" w:color="auto"/>
              <w:bottom w:val="single" w:sz="4" w:space="0" w:color="auto"/>
            </w:tcBorders>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b/>
                <w:i/>
                <w:sz w:val="20"/>
                <w:szCs w:val="20"/>
                <w:lang w:val="en-US" w:eastAsia="es-CO"/>
              </w:rPr>
              <w:t>MS</w:t>
            </w:r>
          </w:p>
        </w:tc>
        <w:tc>
          <w:tcPr>
            <w:tcW w:w="836" w:type="dxa"/>
            <w:tcBorders>
              <w:top w:val="single" w:sz="4" w:space="0" w:color="auto"/>
              <w:bottom w:val="single" w:sz="4" w:space="0" w:color="auto"/>
            </w:tcBorders>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b/>
                <w:i/>
                <w:sz w:val="20"/>
                <w:szCs w:val="20"/>
                <w:lang w:val="en-US" w:eastAsia="es-CO"/>
              </w:rPr>
              <w:t>F</w:t>
            </w:r>
          </w:p>
        </w:tc>
        <w:tc>
          <w:tcPr>
            <w:tcW w:w="799" w:type="dxa"/>
            <w:tcBorders>
              <w:top w:val="single" w:sz="4" w:space="0" w:color="auto"/>
              <w:bottom w:val="single" w:sz="4" w:space="0" w:color="auto"/>
            </w:tcBorders>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b/>
                <w:i/>
                <w:sz w:val="20"/>
                <w:szCs w:val="20"/>
                <w:lang w:val="en-US" w:eastAsia="es-CO"/>
              </w:rPr>
              <w:t>P</w:t>
            </w:r>
          </w:p>
        </w:tc>
      </w:tr>
      <w:tr w:rsidR="00E821E2" w:rsidRPr="009D530E" w:rsidTr="00543CE6">
        <w:trPr>
          <w:jc w:val="center"/>
        </w:trPr>
        <w:tc>
          <w:tcPr>
            <w:tcW w:w="8603" w:type="dxa"/>
            <w:gridSpan w:val="7"/>
            <w:tcBorders>
              <w:top w:val="single" w:sz="4" w:space="0" w:color="auto"/>
            </w:tcBorders>
            <w:tcMar>
              <w:top w:w="75" w:type="dxa"/>
              <w:left w:w="75" w:type="dxa"/>
              <w:bottom w:w="75" w:type="dxa"/>
              <w:right w:w="75" w:type="dxa"/>
            </w:tcMar>
            <w:vAlign w:val="center"/>
          </w:tcPr>
          <w:p w:rsidR="00E821E2" w:rsidRPr="009D530E" w:rsidRDefault="00E821E2" w:rsidP="00543CE6">
            <w:pPr>
              <w:spacing w:after="0"/>
              <w:ind w:hanging="22"/>
              <w:rPr>
                <w:rFonts w:ascii="Times New Roman" w:eastAsia="Times New Roman" w:hAnsi="Times New Roman"/>
                <w:b/>
                <w:i/>
                <w:sz w:val="20"/>
                <w:szCs w:val="20"/>
                <w:lang w:val="en-US" w:eastAsia="es-CO"/>
              </w:rPr>
            </w:pPr>
            <w:r w:rsidRPr="009D530E">
              <w:rPr>
                <w:rFonts w:ascii="Times New Roman" w:eastAsia="Times New Roman" w:hAnsi="Times New Roman"/>
                <w:b/>
                <w:i/>
                <w:sz w:val="20"/>
                <w:szCs w:val="20"/>
                <w:lang w:val="en-US" w:eastAsia="es-CO"/>
              </w:rPr>
              <w:t>Microstructures</w:t>
            </w:r>
          </w:p>
        </w:tc>
      </w:tr>
      <w:tr w:rsidR="00E821E2" w:rsidRPr="009D530E" w:rsidTr="00543CE6">
        <w:trPr>
          <w:jc w:val="center"/>
        </w:trPr>
        <w:tc>
          <w:tcPr>
            <w:tcW w:w="3061" w:type="dxa"/>
            <w:tcMar>
              <w:top w:w="75" w:type="dxa"/>
              <w:left w:w="75" w:type="dxa"/>
              <w:bottom w:w="75" w:type="dxa"/>
              <w:right w:w="75" w:type="dxa"/>
            </w:tcMar>
            <w:vAlign w:val="center"/>
          </w:tcPr>
          <w:p w:rsidR="00E821E2" w:rsidRPr="009D530E" w:rsidRDefault="00E821E2" w:rsidP="00543CE6">
            <w:pPr>
              <w:spacing w:after="0"/>
              <w:ind w:hanging="22"/>
              <w:rPr>
                <w:rFonts w:ascii="Times New Roman" w:eastAsia="Times New Roman" w:hAnsi="Times New Roman"/>
                <w:sz w:val="20"/>
                <w:szCs w:val="20"/>
                <w:lang w:val="en-US" w:eastAsia="es-CO"/>
              </w:rPr>
            </w:pPr>
            <w:r w:rsidRPr="009D530E">
              <w:rPr>
                <w:rFonts w:ascii="Times New Roman" w:eastAsia="Times New Roman" w:hAnsi="Times New Roman"/>
                <w:sz w:val="20"/>
                <w:szCs w:val="20"/>
                <w:lang w:val="en-US" w:eastAsia="es-CO"/>
              </w:rPr>
              <w:t>Cuticle width (µm)</w:t>
            </w:r>
          </w:p>
        </w:tc>
        <w:tc>
          <w:tcPr>
            <w:tcW w:w="1528"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sz w:val="20"/>
                <w:szCs w:val="20"/>
                <w:lang w:val="en-US" w:eastAsia="es-CO"/>
              </w:rPr>
            </w:pPr>
            <w:r w:rsidRPr="009D530E">
              <w:rPr>
                <w:rFonts w:ascii="Times New Roman" w:eastAsia="Times New Roman" w:hAnsi="Times New Roman"/>
                <w:sz w:val="20"/>
                <w:szCs w:val="20"/>
                <w:lang w:val="en-US" w:eastAsia="es-CO"/>
              </w:rPr>
              <w:t>Pop</w:t>
            </w:r>
          </w:p>
        </w:tc>
        <w:tc>
          <w:tcPr>
            <w:tcW w:w="793"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val="en-US" w:eastAsia="es-CO"/>
              </w:rPr>
              <w:t>2,72</w:t>
            </w:r>
          </w:p>
        </w:tc>
        <w:tc>
          <w:tcPr>
            <w:tcW w:w="750"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val="en-US" w:eastAsia="es-CO"/>
              </w:rPr>
              <w:t>829.80</w:t>
            </w:r>
          </w:p>
        </w:tc>
        <w:tc>
          <w:tcPr>
            <w:tcW w:w="836"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val="en-US" w:eastAsia="es-CO"/>
              </w:rPr>
              <w:t>414.90</w:t>
            </w:r>
          </w:p>
        </w:tc>
        <w:tc>
          <w:tcPr>
            <w:tcW w:w="836"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val="en-US" w:eastAsia="es-CO"/>
              </w:rPr>
              <w:t>1</w:t>
            </w:r>
            <w:r w:rsidRPr="009D530E">
              <w:rPr>
                <w:rFonts w:ascii="Times New Roman" w:eastAsia="Times New Roman" w:hAnsi="Times New Roman"/>
                <w:sz w:val="20"/>
                <w:szCs w:val="20"/>
                <w:lang w:eastAsia="es-CO"/>
              </w:rPr>
              <w:t>07.70</w:t>
            </w:r>
          </w:p>
        </w:tc>
        <w:tc>
          <w:tcPr>
            <w:tcW w:w="799"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b/>
                <w:sz w:val="20"/>
                <w:szCs w:val="20"/>
                <w:lang w:eastAsia="es-CO"/>
              </w:rPr>
              <w:t>&lt; 0.001</w:t>
            </w:r>
          </w:p>
        </w:tc>
      </w:tr>
      <w:tr w:rsidR="00E821E2" w:rsidRPr="009D530E" w:rsidTr="00543CE6">
        <w:trPr>
          <w:jc w:val="center"/>
        </w:trPr>
        <w:tc>
          <w:tcPr>
            <w:tcW w:w="3061" w:type="dxa"/>
            <w:tcMar>
              <w:top w:w="75" w:type="dxa"/>
              <w:left w:w="75" w:type="dxa"/>
              <w:bottom w:w="75" w:type="dxa"/>
              <w:right w:w="75" w:type="dxa"/>
            </w:tcMar>
            <w:vAlign w:val="center"/>
          </w:tcPr>
          <w:p w:rsidR="00E821E2" w:rsidRPr="009D530E" w:rsidRDefault="00E821E2" w:rsidP="00543CE6">
            <w:pPr>
              <w:spacing w:after="0"/>
              <w:ind w:hanging="22"/>
              <w:rPr>
                <w:rFonts w:ascii="Times New Roman" w:eastAsia="Times New Roman" w:hAnsi="Times New Roman"/>
                <w:sz w:val="20"/>
                <w:szCs w:val="20"/>
                <w:lang w:val="en-US" w:eastAsia="es-CO"/>
              </w:rPr>
            </w:pPr>
            <w:r w:rsidRPr="009D530E">
              <w:rPr>
                <w:rFonts w:ascii="Times New Roman" w:eastAsia="Times New Roman" w:hAnsi="Times New Roman"/>
                <w:sz w:val="20"/>
                <w:szCs w:val="20"/>
                <w:lang w:eastAsia="es-CO"/>
              </w:rPr>
              <w:t>Mesophill width (µm)</w:t>
            </w:r>
          </w:p>
        </w:tc>
        <w:tc>
          <w:tcPr>
            <w:tcW w:w="1528"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sz w:val="20"/>
                <w:szCs w:val="20"/>
                <w:lang w:val="en-US" w:eastAsia="es-CO"/>
              </w:rPr>
            </w:pPr>
            <w:r w:rsidRPr="009D530E">
              <w:rPr>
                <w:rFonts w:ascii="Times New Roman" w:eastAsia="Times New Roman" w:hAnsi="Times New Roman"/>
                <w:sz w:val="20"/>
                <w:szCs w:val="20"/>
                <w:lang w:eastAsia="es-CO"/>
              </w:rPr>
              <w:t>Pop</w:t>
            </w:r>
          </w:p>
        </w:tc>
        <w:tc>
          <w:tcPr>
            <w:tcW w:w="793"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2,72</w:t>
            </w:r>
          </w:p>
        </w:tc>
        <w:tc>
          <w:tcPr>
            <w:tcW w:w="750"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114662</w:t>
            </w:r>
          </w:p>
        </w:tc>
        <w:tc>
          <w:tcPr>
            <w:tcW w:w="836"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57331</w:t>
            </w:r>
          </w:p>
        </w:tc>
        <w:tc>
          <w:tcPr>
            <w:tcW w:w="836"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225.90</w:t>
            </w:r>
          </w:p>
        </w:tc>
        <w:tc>
          <w:tcPr>
            <w:tcW w:w="799"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b/>
                <w:sz w:val="20"/>
                <w:szCs w:val="20"/>
                <w:lang w:eastAsia="es-CO"/>
              </w:rPr>
              <w:t>&lt; 0.001</w:t>
            </w:r>
          </w:p>
        </w:tc>
      </w:tr>
      <w:tr w:rsidR="00E821E2" w:rsidRPr="009D530E" w:rsidTr="00543CE6">
        <w:trPr>
          <w:jc w:val="center"/>
        </w:trPr>
        <w:tc>
          <w:tcPr>
            <w:tcW w:w="3061" w:type="dxa"/>
            <w:tcMar>
              <w:top w:w="75" w:type="dxa"/>
              <w:left w:w="75" w:type="dxa"/>
              <w:bottom w:w="75" w:type="dxa"/>
              <w:right w:w="75" w:type="dxa"/>
            </w:tcMar>
            <w:vAlign w:val="center"/>
          </w:tcPr>
          <w:p w:rsidR="00E821E2" w:rsidRPr="009D530E" w:rsidRDefault="00E821E2" w:rsidP="00543CE6">
            <w:pPr>
              <w:spacing w:after="0"/>
              <w:ind w:hanging="22"/>
              <w:rPr>
                <w:rFonts w:ascii="Times New Roman" w:eastAsia="Times New Roman" w:hAnsi="Times New Roman"/>
                <w:sz w:val="20"/>
                <w:szCs w:val="20"/>
                <w:lang w:val="en-US" w:eastAsia="es-CO"/>
              </w:rPr>
            </w:pPr>
            <w:r w:rsidRPr="009D530E">
              <w:rPr>
                <w:rFonts w:ascii="Times New Roman" w:eastAsia="Times New Roman" w:hAnsi="Times New Roman"/>
                <w:sz w:val="20"/>
                <w:szCs w:val="20"/>
                <w:lang w:eastAsia="es-CO"/>
              </w:rPr>
              <w:t>Palisade Parenchyma width (µm)</w:t>
            </w:r>
          </w:p>
        </w:tc>
        <w:tc>
          <w:tcPr>
            <w:tcW w:w="1528"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sz w:val="20"/>
                <w:szCs w:val="20"/>
                <w:lang w:val="en-US" w:eastAsia="es-CO"/>
              </w:rPr>
            </w:pPr>
            <w:r w:rsidRPr="009D530E">
              <w:rPr>
                <w:rFonts w:ascii="Times New Roman" w:eastAsia="Times New Roman" w:hAnsi="Times New Roman"/>
                <w:sz w:val="20"/>
                <w:szCs w:val="20"/>
                <w:lang w:eastAsia="es-CO"/>
              </w:rPr>
              <w:t>Pop</w:t>
            </w:r>
          </w:p>
        </w:tc>
        <w:tc>
          <w:tcPr>
            <w:tcW w:w="793"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2,72</w:t>
            </w:r>
          </w:p>
        </w:tc>
        <w:tc>
          <w:tcPr>
            <w:tcW w:w="750"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3367</w:t>
            </w:r>
          </w:p>
        </w:tc>
        <w:tc>
          <w:tcPr>
            <w:tcW w:w="836"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1683.50</w:t>
            </w:r>
          </w:p>
        </w:tc>
        <w:tc>
          <w:tcPr>
            <w:tcW w:w="836"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165.40</w:t>
            </w:r>
          </w:p>
        </w:tc>
        <w:tc>
          <w:tcPr>
            <w:tcW w:w="799"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b/>
                <w:sz w:val="20"/>
                <w:szCs w:val="20"/>
                <w:lang w:eastAsia="es-CO"/>
              </w:rPr>
              <w:t>&lt; 0.001</w:t>
            </w:r>
          </w:p>
        </w:tc>
      </w:tr>
      <w:tr w:rsidR="00E821E2" w:rsidRPr="009D530E" w:rsidTr="00543CE6">
        <w:trPr>
          <w:jc w:val="center"/>
        </w:trPr>
        <w:tc>
          <w:tcPr>
            <w:tcW w:w="3061" w:type="dxa"/>
            <w:tcMar>
              <w:top w:w="75" w:type="dxa"/>
              <w:left w:w="75" w:type="dxa"/>
              <w:bottom w:w="75" w:type="dxa"/>
              <w:right w:w="75" w:type="dxa"/>
            </w:tcMar>
            <w:vAlign w:val="center"/>
          </w:tcPr>
          <w:p w:rsidR="00E821E2" w:rsidRPr="009D530E" w:rsidRDefault="00E821E2" w:rsidP="00543CE6">
            <w:pPr>
              <w:spacing w:after="0"/>
              <w:ind w:hanging="22"/>
              <w:rPr>
                <w:rFonts w:ascii="Times New Roman" w:eastAsia="Times New Roman" w:hAnsi="Times New Roman"/>
                <w:sz w:val="20"/>
                <w:szCs w:val="20"/>
                <w:lang w:val="en-US" w:eastAsia="es-CO"/>
              </w:rPr>
            </w:pPr>
            <w:r w:rsidRPr="009D530E">
              <w:rPr>
                <w:rFonts w:ascii="Times New Roman" w:eastAsia="Times New Roman" w:hAnsi="Times New Roman"/>
                <w:sz w:val="20"/>
                <w:szCs w:val="20"/>
                <w:lang w:eastAsia="es-CO"/>
              </w:rPr>
              <w:t>Spongy Mesophyll width (µm)</w:t>
            </w:r>
          </w:p>
        </w:tc>
        <w:tc>
          <w:tcPr>
            <w:tcW w:w="1528"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sz w:val="20"/>
                <w:szCs w:val="20"/>
                <w:lang w:val="en-US" w:eastAsia="es-CO"/>
              </w:rPr>
            </w:pPr>
            <w:r w:rsidRPr="009D530E">
              <w:rPr>
                <w:rFonts w:ascii="Times New Roman" w:eastAsia="Times New Roman" w:hAnsi="Times New Roman"/>
                <w:sz w:val="20"/>
                <w:szCs w:val="20"/>
                <w:lang w:eastAsia="es-CO"/>
              </w:rPr>
              <w:t>Pop</w:t>
            </w:r>
          </w:p>
        </w:tc>
        <w:tc>
          <w:tcPr>
            <w:tcW w:w="793"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2,72</w:t>
            </w:r>
          </w:p>
        </w:tc>
        <w:tc>
          <w:tcPr>
            <w:tcW w:w="750"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97392</w:t>
            </w:r>
          </w:p>
        </w:tc>
        <w:tc>
          <w:tcPr>
            <w:tcW w:w="836"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48696</w:t>
            </w:r>
          </w:p>
        </w:tc>
        <w:tc>
          <w:tcPr>
            <w:tcW w:w="836"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174.60</w:t>
            </w:r>
          </w:p>
        </w:tc>
        <w:tc>
          <w:tcPr>
            <w:tcW w:w="799"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b/>
                <w:sz w:val="20"/>
                <w:szCs w:val="20"/>
                <w:lang w:eastAsia="es-CO"/>
              </w:rPr>
              <w:t>&lt; 0.001</w:t>
            </w:r>
          </w:p>
        </w:tc>
      </w:tr>
      <w:tr w:rsidR="00E821E2" w:rsidRPr="009D530E" w:rsidTr="00543CE6">
        <w:trPr>
          <w:jc w:val="center"/>
        </w:trPr>
        <w:tc>
          <w:tcPr>
            <w:tcW w:w="3061" w:type="dxa"/>
            <w:tcMar>
              <w:top w:w="75" w:type="dxa"/>
              <w:left w:w="75" w:type="dxa"/>
              <w:bottom w:w="75" w:type="dxa"/>
              <w:right w:w="75" w:type="dxa"/>
            </w:tcMar>
            <w:vAlign w:val="center"/>
          </w:tcPr>
          <w:p w:rsidR="00E821E2" w:rsidRPr="009D530E" w:rsidRDefault="00E821E2" w:rsidP="00543CE6">
            <w:pPr>
              <w:spacing w:after="0"/>
              <w:ind w:hanging="22"/>
              <w:rPr>
                <w:rFonts w:ascii="Times New Roman" w:eastAsia="Times New Roman" w:hAnsi="Times New Roman"/>
                <w:sz w:val="20"/>
                <w:szCs w:val="20"/>
                <w:lang w:val="en-US" w:eastAsia="es-CO"/>
              </w:rPr>
            </w:pPr>
            <w:r w:rsidRPr="009D530E">
              <w:rPr>
                <w:rFonts w:ascii="Times New Roman" w:eastAsia="Times New Roman" w:hAnsi="Times New Roman"/>
                <w:sz w:val="20"/>
                <w:szCs w:val="20"/>
                <w:lang w:eastAsia="es-CO"/>
              </w:rPr>
              <w:t>Leaf transversal area (mm</w:t>
            </w:r>
            <w:r w:rsidRPr="009D530E">
              <w:rPr>
                <w:rFonts w:ascii="Times New Roman" w:eastAsia="Times New Roman" w:hAnsi="Times New Roman"/>
                <w:sz w:val="20"/>
                <w:szCs w:val="20"/>
                <w:vertAlign w:val="superscript"/>
                <w:lang w:eastAsia="es-CO"/>
              </w:rPr>
              <w:t>2</w:t>
            </w:r>
            <w:r w:rsidRPr="009D530E">
              <w:rPr>
                <w:rFonts w:ascii="Times New Roman" w:eastAsia="Times New Roman" w:hAnsi="Times New Roman"/>
                <w:sz w:val="20"/>
                <w:szCs w:val="20"/>
                <w:lang w:eastAsia="es-CO"/>
              </w:rPr>
              <w:t>)</w:t>
            </w:r>
          </w:p>
        </w:tc>
        <w:tc>
          <w:tcPr>
            <w:tcW w:w="1528"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sz w:val="20"/>
                <w:szCs w:val="20"/>
                <w:lang w:val="en-US" w:eastAsia="es-CO"/>
              </w:rPr>
            </w:pPr>
            <w:r w:rsidRPr="009D530E">
              <w:rPr>
                <w:rFonts w:ascii="Times New Roman" w:eastAsia="Times New Roman" w:hAnsi="Times New Roman"/>
                <w:sz w:val="20"/>
                <w:szCs w:val="20"/>
                <w:lang w:eastAsia="es-CO"/>
              </w:rPr>
              <w:t>Pop</w:t>
            </w:r>
          </w:p>
        </w:tc>
        <w:tc>
          <w:tcPr>
            <w:tcW w:w="793"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2,72</w:t>
            </w:r>
          </w:p>
        </w:tc>
        <w:tc>
          <w:tcPr>
            <w:tcW w:w="750"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0.45</w:t>
            </w:r>
          </w:p>
        </w:tc>
        <w:tc>
          <w:tcPr>
            <w:tcW w:w="836"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0.23</w:t>
            </w:r>
          </w:p>
        </w:tc>
        <w:tc>
          <w:tcPr>
            <w:tcW w:w="836"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513.20</w:t>
            </w:r>
          </w:p>
        </w:tc>
        <w:tc>
          <w:tcPr>
            <w:tcW w:w="799"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b/>
                <w:sz w:val="20"/>
                <w:szCs w:val="20"/>
                <w:lang w:eastAsia="es-CO"/>
              </w:rPr>
              <w:t>&lt; 0.001</w:t>
            </w:r>
          </w:p>
        </w:tc>
      </w:tr>
      <w:tr w:rsidR="00E821E2" w:rsidRPr="009D530E" w:rsidTr="00543CE6">
        <w:trPr>
          <w:jc w:val="center"/>
        </w:trPr>
        <w:tc>
          <w:tcPr>
            <w:tcW w:w="3061" w:type="dxa"/>
            <w:tcMar>
              <w:top w:w="75" w:type="dxa"/>
              <w:left w:w="75" w:type="dxa"/>
              <w:bottom w:w="75" w:type="dxa"/>
              <w:right w:w="75" w:type="dxa"/>
            </w:tcMar>
            <w:vAlign w:val="center"/>
          </w:tcPr>
          <w:p w:rsidR="00E821E2" w:rsidRPr="009D530E" w:rsidRDefault="00E821E2" w:rsidP="00543CE6">
            <w:pPr>
              <w:spacing w:after="0"/>
              <w:ind w:hanging="22"/>
              <w:rPr>
                <w:rFonts w:ascii="Times New Roman" w:eastAsia="Times New Roman" w:hAnsi="Times New Roman"/>
                <w:b/>
                <w:i/>
                <w:sz w:val="20"/>
                <w:szCs w:val="20"/>
                <w:lang w:eastAsia="es-CO"/>
              </w:rPr>
            </w:pPr>
          </w:p>
          <w:p w:rsidR="00E821E2" w:rsidRPr="009D530E" w:rsidRDefault="00E821E2" w:rsidP="00543CE6">
            <w:pPr>
              <w:spacing w:after="0"/>
              <w:ind w:hanging="22"/>
              <w:rPr>
                <w:rFonts w:ascii="Times New Roman" w:eastAsia="Times New Roman" w:hAnsi="Times New Roman"/>
                <w:b/>
                <w:i/>
                <w:sz w:val="20"/>
                <w:szCs w:val="20"/>
                <w:lang w:eastAsia="es-CO"/>
              </w:rPr>
            </w:pPr>
            <w:r w:rsidRPr="009D530E">
              <w:rPr>
                <w:rFonts w:ascii="Times New Roman" w:eastAsia="Times New Roman" w:hAnsi="Times New Roman"/>
                <w:b/>
                <w:i/>
                <w:sz w:val="20"/>
                <w:szCs w:val="20"/>
                <w:lang w:eastAsia="es-CO"/>
              </w:rPr>
              <w:t>Pigments</w:t>
            </w:r>
          </w:p>
        </w:tc>
        <w:tc>
          <w:tcPr>
            <w:tcW w:w="1528"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eastAsia="es-CO"/>
              </w:rPr>
            </w:pPr>
          </w:p>
        </w:tc>
        <w:tc>
          <w:tcPr>
            <w:tcW w:w="793"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eastAsia="es-CO"/>
              </w:rPr>
            </w:pPr>
          </w:p>
        </w:tc>
        <w:tc>
          <w:tcPr>
            <w:tcW w:w="750"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eastAsia="es-CO"/>
              </w:rPr>
            </w:pPr>
          </w:p>
        </w:tc>
        <w:tc>
          <w:tcPr>
            <w:tcW w:w="836"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eastAsia="es-CO"/>
              </w:rPr>
            </w:pPr>
          </w:p>
        </w:tc>
        <w:tc>
          <w:tcPr>
            <w:tcW w:w="836"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eastAsia="es-CO"/>
              </w:rPr>
            </w:pPr>
          </w:p>
        </w:tc>
        <w:tc>
          <w:tcPr>
            <w:tcW w:w="799"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eastAsia="es-CO"/>
              </w:rPr>
            </w:pPr>
          </w:p>
        </w:tc>
      </w:tr>
      <w:tr w:rsidR="00E821E2" w:rsidRPr="009D530E" w:rsidTr="00543CE6">
        <w:trPr>
          <w:jc w:val="center"/>
        </w:trPr>
        <w:tc>
          <w:tcPr>
            <w:tcW w:w="3061" w:type="dxa"/>
            <w:tcMar>
              <w:top w:w="75" w:type="dxa"/>
              <w:left w:w="75" w:type="dxa"/>
              <w:bottom w:w="75" w:type="dxa"/>
              <w:right w:w="75" w:type="dxa"/>
            </w:tcMar>
            <w:vAlign w:val="center"/>
          </w:tcPr>
          <w:p w:rsidR="00E821E2" w:rsidRPr="009D530E" w:rsidRDefault="00E821E2" w:rsidP="00543CE6">
            <w:pPr>
              <w:spacing w:after="0"/>
              <w:ind w:hanging="22"/>
              <w:rPr>
                <w:rFonts w:ascii="Times New Roman" w:eastAsia="Times New Roman" w:hAnsi="Times New Roman"/>
                <w:sz w:val="20"/>
                <w:szCs w:val="20"/>
                <w:lang w:val="en-US" w:eastAsia="es-CO"/>
              </w:rPr>
            </w:pPr>
            <w:r w:rsidRPr="009D530E">
              <w:rPr>
                <w:rFonts w:ascii="Times New Roman" w:eastAsia="Times New Roman" w:hAnsi="Times New Roman"/>
                <w:sz w:val="20"/>
                <w:szCs w:val="20"/>
                <w:lang w:eastAsia="es-CO"/>
              </w:rPr>
              <w:t>Anteraxanthin (µg g</w:t>
            </w:r>
            <w:r w:rsidRPr="009D530E">
              <w:rPr>
                <w:rFonts w:ascii="Times New Roman" w:eastAsia="Times New Roman" w:hAnsi="Times New Roman"/>
                <w:sz w:val="20"/>
                <w:szCs w:val="20"/>
                <w:vertAlign w:val="superscript"/>
                <w:lang w:eastAsia="es-CO"/>
              </w:rPr>
              <w:t>-1</w:t>
            </w:r>
            <w:r w:rsidRPr="009D530E">
              <w:rPr>
                <w:rFonts w:ascii="Times New Roman" w:eastAsia="Times New Roman" w:hAnsi="Times New Roman"/>
                <w:sz w:val="20"/>
                <w:szCs w:val="20"/>
                <w:lang w:eastAsia="es-CO"/>
              </w:rPr>
              <w:t xml:space="preserve"> DW)</w:t>
            </w:r>
          </w:p>
        </w:tc>
        <w:tc>
          <w:tcPr>
            <w:tcW w:w="1528"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sz w:val="20"/>
                <w:szCs w:val="20"/>
                <w:lang w:val="en-US" w:eastAsia="es-CO"/>
              </w:rPr>
            </w:pPr>
            <w:r w:rsidRPr="009D530E">
              <w:rPr>
                <w:rFonts w:ascii="Times New Roman" w:eastAsia="Times New Roman" w:hAnsi="Times New Roman"/>
                <w:sz w:val="20"/>
                <w:szCs w:val="20"/>
                <w:lang w:eastAsia="es-CO"/>
              </w:rPr>
              <w:t>Pop</w:t>
            </w:r>
          </w:p>
        </w:tc>
        <w:tc>
          <w:tcPr>
            <w:tcW w:w="793"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2,42</w:t>
            </w:r>
          </w:p>
        </w:tc>
        <w:tc>
          <w:tcPr>
            <w:tcW w:w="750"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217.80</w:t>
            </w:r>
          </w:p>
        </w:tc>
        <w:tc>
          <w:tcPr>
            <w:tcW w:w="836"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108.90</w:t>
            </w:r>
          </w:p>
        </w:tc>
        <w:tc>
          <w:tcPr>
            <w:tcW w:w="836"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5.19</w:t>
            </w:r>
          </w:p>
        </w:tc>
        <w:tc>
          <w:tcPr>
            <w:tcW w:w="799"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b/>
                <w:sz w:val="20"/>
                <w:szCs w:val="20"/>
                <w:lang w:eastAsia="es-CO"/>
              </w:rPr>
              <w:t>0.001</w:t>
            </w:r>
          </w:p>
        </w:tc>
      </w:tr>
      <w:tr w:rsidR="00E821E2" w:rsidRPr="009D530E" w:rsidTr="00543CE6">
        <w:trPr>
          <w:jc w:val="center"/>
        </w:trPr>
        <w:tc>
          <w:tcPr>
            <w:tcW w:w="3061" w:type="dxa"/>
            <w:tcMar>
              <w:top w:w="75" w:type="dxa"/>
              <w:left w:w="75" w:type="dxa"/>
              <w:bottom w:w="75" w:type="dxa"/>
              <w:right w:w="75" w:type="dxa"/>
            </w:tcMar>
            <w:vAlign w:val="center"/>
          </w:tcPr>
          <w:p w:rsidR="00E821E2" w:rsidRPr="009D530E" w:rsidRDefault="00E821E2" w:rsidP="00543CE6">
            <w:pPr>
              <w:spacing w:after="0"/>
              <w:ind w:hanging="22"/>
              <w:rPr>
                <w:rFonts w:ascii="Times New Roman" w:eastAsia="Times New Roman" w:hAnsi="Times New Roman"/>
                <w:sz w:val="20"/>
                <w:szCs w:val="20"/>
                <w:lang w:val="en-US" w:eastAsia="es-CO"/>
              </w:rPr>
            </w:pPr>
            <w:r w:rsidRPr="009D530E">
              <w:rPr>
                <w:rFonts w:ascii="Times New Roman" w:eastAsia="Times New Roman" w:hAnsi="Times New Roman"/>
                <w:sz w:val="20"/>
                <w:szCs w:val="20"/>
                <w:lang w:eastAsia="es-CO"/>
              </w:rPr>
              <w:t>Violaxanthin (µg g</w:t>
            </w:r>
            <w:r w:rsidRPr="009D530E">
              <w:rPr>
                <w:rFonts w:ascii="Times New Roman" w:eastAsia="Times New Roman" w:hAnsi="Times New Roman"/>
                <w:sz w:val="20"/>
                <w:szCs w:val="20"/>
                <w:vertAlign w:val="superscript"/>
                <w:lang w:eastAsia="es-CO"/>
              </w:rPr>
              <w:t>-1</w:t>
            </w:r>
            <w:r w:rsidRPr="009D530E">
              <w:rPr>
                <w:rFonts w:ascii="Times New Roman" w:eastAsia="Times New Roman" w:hAnsi="Times New Roman"/>
                <w:sz w:val="20"/>
                <w:szCs w:val="20"/>
                <w:lang w:eastAsia="es-CO"/>
              </w:rPr>
              <w:t xml:space="preserve"> DW)</w:t>
            </w:r>
          </w:p>
        </w:tc>
        <w:tc>
          <w:tcPr>
            <w:tcW w:w="1528"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sz w:val="20"/>
                <w:szCs w:val="20"/>
                <w:lang w:val="en-US" w:eastAsia="es-CO"/>
              </w:rPr>
            </w:pPr>
            <w:r w:rsidRPr="009D530E">
              <w:rPr>
                <w:rFonts w:ascii="Times New Roman" w:eastAsia="Times New Roman" w:hAnsi="Times New Roman"/>
                <w:sz w:val="20"/>
                <w:szCs w:val="20"/>
                <w:lang w:eastAsia="es-CO"/>
              </w:rPr>
              <w:t>Pop</w:t>
            </w:r>
          </w:p>
        </w:tc>
        <w:tc>
          <w:tcPr>
            <w:tcW w:w="793"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2,42</w:t>
            </w:r>
          </w:p>
        </w:tc>
        <w:tc>
          <w:tcPr>
            <w:tcW w:w="750"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50.71</w:t>
            </w:r>
          </w:p>
        </w:tc>
        <w:tc>
          <w:tcPr>
            <w:tcW w:w="836"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25.35</w:t>
            </w:r>
          </w:p>
        </w:tc>
        <w:tc>
          <w:tcPr>
            <w:tcW w:w="836"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5.88</w:t>
            </w:r>
          </w:p>
        </w:tc>
        <w:tc>
          <w:tcPr>
            <w:tcW w:w="799"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b/>
                <w:sz w:val="20"/>
                <w:szCs w:val="20"/>
                <w:lang w:eastAsia="es-CO"/>
              </w:rPr>
              <w:t>0.005</w:t>
            </w:r>
          </w:p>
        </w:tc>
      </w:tr>
      <w:tr w:rsidR="00E821E2" w:rsidRPr="009D530E" w:rsidTr="00543CE6">
        <w:trPr>
          <w:jc w:val="center"/>
        </w:trPr>
        <w:tc>
          <w:tcPr>
            <w:tcW w:w="3061" w:type="dxa"/>
            <w:tcMar>
              <w:top w:w="75" w:type="dxa"/>
              <w:left w:w="75" w:type="dxa"/>
              <w:bottom w:w="75" w:type="dxa"/>
              <w:right w:w="75" w:type="dxa"/>
            </w:tcMar>
            <w:vAlign w:val="center"/>
          </w:tcPr>
          <w:p w:rsidR="00E821E2" w:rsidRPr="009D530E" w:rsidRDefault="00E821E2" w:rsidP="00543CE6">
            <w:pPr>
              <w:spacing w:after="0"/>
              <w:ind w:hanging="22"/>
              <w:rPr>
                <w:rFonts w:ascii="Times New Roman" w:eastAsia="Times New Roman" w:hAnsi="Times New Roman"/>
                <w:sz w:val="20"/>
                <w:szCs w:val="20"/>
                <w:lang w:val="en-US" w:eastAsia="es-CO"/>
              </w:rPr>
            </w:pPr>
            <w:r w:rsidRPr="009D530E">
              <w:rPr>
                <w:rFonts w:ascii="Times New Roman" w:eastAsia="Times New Roman" w:hAnsi="Times New Roman"/>
                <w:sz w:val="20"/>
                <w:szCs w:val="20"/>
                <w:lang w:eastAsia="es-CO"/>
              </w:rPr>
              <w:t>Zeaxanthin (µg g</w:t>
            </w:r>
            <w:r w:rsidRPr="009D530E">
              <w:rPr>
                <w:rFonts w:ascii="Times New Roman" w:eastAsia="Times New Roman" w:hAnsi="Times New Roman"/>
                <w:sz w:val="20"/>
                <w:szCs w:val="20"/>
                <w:vertAlign w:val="superscript"/>
                <w:lang w:eastAsia="es-CO"/>
              </w:rPr>
              <w:t>-1</w:t>
            </w:r>
            <w:r w:rsidRPr="009D530E">
              <w:rPr>
                <w:rFonts w:ascii="Times New Roman" w:eastAsia="Times New Roman" w:hAnsi="Times New Roman"/>
                <w:sz w:val="20"/>
                <w:szCs w:val="20"/>
                <w:lang w:eastAsia="es-CO"/>
              </w:rPr>
              <w:t xml:space="preserve"> DW)</w:t>
            </w:r>
          </w:p>
        </w:tc>
        <w:tc>
          <w:tcPr>
            <w:tcW w:w="1528"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sz w:val="20"/>
                <w:szCs w:val="20"/>
                <w:lang w:val="en-US" w:eastAsia="es-CO"/>
              </w:rPr>
            </w:pPr>
            <w:r w:rsidRPr="009D530E">
              <w:rPr>
                <w:rFonts w:ascii="Times New Roman" w:eastAsia="Times New Roman" w:hAnsi="Times New Roman"/>
                <w:sz w:val="20"/>
                <w:szCs w:val="20"/>
                <w:lang w:eastAsia="es-CO"/>
              </w:rPr>
              <w:t>Pop</w:t>
            </w:r>
          </w:p>
        </w:tc>
        <w:tc>
          <w:tcPr>
            <w:tcW w:w="793"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2,42</w:t>
            </w:r>
          </w:p>
        </w:tc>
        <w:tc>
          <w:tcPr>
            <w:tcW w:w="750"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3154</w:t>
            </w:r>
          </w:p>
        </w:tc>
        <w:tc>
          <w:tcPr>
            <w:tcW w:w="836"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1577</w:t>
            </w:r>
          </w:p>
        </w:tc>
        <w:tc>
          <w:tcPr>
            <w:tcW w:w="836"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52.69</w:t>
            </w:r>
          </w:p>
        </w:tc>
        <w:tc>
          <w:tcPr>
            <w:tcW w:w="799"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b/>
                <w:sz w:val="20"/>
                <w:szCs w:val="20"/>
                <w:lang w:eastAsia="es-CO"/>
              </w:rPr>
              <w:t>&lt; 0.001</w:t>
            </w:r>
          </w:p>
        </w:tc>
      </w:tr>
      <w:tr w:rsidR="00E821E2" w:rsidRPr="009D530E" w:rsidTr="00543CE6">
        <w:trPr>
          <w:jc w:val="center"/>
        </w:trPr>
        <w:tc>
          <w:tcPr>
            <w:tcW w:w="3061" w:type="dxa"/>
            <w:tcMar>
              <w:top w:w="75" w:type="dxa"/>
              <w:left w:w="75" w:type="dxa"/>
              <w:bottom w:w="75" w:type="dxa"/>
              <w:right w:w="75" w:type="dxa"/>
            </w:tcMar>
            <w:vAlign w:val="center"/>
          </w:tcPr>
          <w:p w:rsidR="00E821E2" w:rsidRPr="009D530E" w:rsidRDefault="00E821E2" w:rsidP="00543CE6">
            <w:pPr>
              <w:spacing w:after="0"/>
              <w:ind w:hanging="22"/>
              <w:rPr>
                <w:rFonts w:ascii="Times New Roman" w:eastAsia="Times New Roman" w:hAnsi="Times New Roman"/>
                <w:sz w:val="20"/>
                <w:szCs w:val="20"/>
                <w:lang w:val="en-US" w:eastAsia="es-CO"/>
              </w:rPr>
            </w:pPr>
            <w:r w:rsidRPr="009D530E">
              <w:rPr>
                <w:rFonts w:ascii="Times New Roman" w:eastAsia="Times New Roman" w:hAnsi="Times New Roman"/>
                <w:sz w:val="20"/>
                <w:szCs w:val="20"/>
                <w:lang w:eastAsia="es-CO"/>
              </w:rPr>
              <w:t>DEPS (µg g</w:t>
            </w:r>
            <w:r w:rsidRPr="009D530E">
              <w:rPr>
                <w:rFonts w:ascii="Times New Roman" w:eastAsia="Times New Roman" w:hAnsi="Times New Roman"/>
                <w:sz w:val="20"/>
                <w:szCs w:val="20"/>
                <w:vertAlign w:val="superscript"/>
                <w:lang w:eastAsia="es-CO"/>
              </w:rPr>
              <w:t>-1</w:t>
            </w:r>
            <w:r w:rsidRPr="009D530E">
              <w:rPr>
                <w:rFonts w:ascii="Times New Roman" w:eastAsia="Times New Roman" w:hAnsi="Times New Roman"/>
                <w:sz w:val="20"/>
                <w:szCs w:val="20"/>
                <w:lang w:eastAsia="es-CO"/>
              </w:rPr>
              <w:t xml:space="preserve"> DW)</w:t>
            </w:r>
            <w:r w:rsidRPr="009D530E">
              <w:rPr>
                <w:rFonts w:ascii="Times New Roman" w:eastAsia="Times New Roman" w:hAnsi="Times New Roman"/>
                <w:sz w:val="20"/>
                <w:szCs w:val="20"/>
                <w:lang w:eastAsia="es-CO"/>
              </w:rPr>
              <w:br/>
            </w:r>
          </w:p>
        </w:tc>
        <w:tc>
          <w:tcPr>
            <w:tcW w:w="1528"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sz w:val="20"/>
                <w:szCs w:val="20"/>
                <w:lang w:val="en-US" w:eastAsia="es-CO"/>
              </w:rPr>
            </w:pPr>
            <w:r w:rsidRPr="009D530E">
              <w:rPr>
                <w:rFonts w:ascii="Times New Roman" w:eastAsia="Times New Roman" w:hAnsi="Times New Roman"/>
                <w:sz w:val="20"/>
                <w:szCs w:val="20"/>
                <w:lang w:eastAsia="es-CO"/>
              </w:rPr>
              <w:t>Pop</w:t>
            </w:r>
          </w:p>
        </w:tc>
        <w:tc>
          <w:tcPr>
            <w:tcW w:w="793"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2,42</w:t>
            </w:r>
          </w:p>
        </w:tc>
        <w:tc>
          <w:tcPr>
            <w:tcW w:w="750"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0.04</w:t>
            </w:r>
          </w:p>
        </w:tc>
        <w:tc>
          <w:tcPr>
            <w:tcW w:w="836"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0.02</w:t>
            </w:r>
          </w:p>
        </w:tc>
        <w:tc>
          <w:tcPr>
            <w:tcW w:w="836"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36.83</w:t>
            </w:r>
          </w:p>
        </w:tc>
        <w:tc>
          <w:tcPr>
            <w:tcW w:w="799"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b/>
                <w:sz w:val="20"/>
                <w:szCs w:val="20"/>
                <w:lang w:eastAsia="es-CO"/>
              </w:rPr>
              <w:t>&lt; 0.001</w:t>
            </w:r>
          </w:p>
        </w:tc>
      </w:tr>
      <w:tr w:rsidR="00E821E2" w:rsidRPr="009D530E" w:rsidTr="00543CE6">
        <w:trPr>
          <w:jc w:val="center"/>
        </w:trPr>
        <w:tc>
          <w:tcPr>
            <w:tcW w:w="8603" w:type="dxa"/>
            <w:gridSpan w:val="7"/>
            <w:tcMar>
              <w:top w:w="75" w:type="dxa"/>
              <w:left w:w="75" w:type="dxa"/>
              <w:bottom w:w="75" w:type="dxa"/>
              <w:right w:w="75" w:type="dxa"/>
            </w:tcMar>
            <w:vAlign w:val="center"/>
          </w:tcPr>
          <w:p w:rsidR="00E821E2" w:rsidRPr="009D530E" w:rsidRDefault="00E821E2" w:rsidP="00543CE6">
            <w:pPr>
              <w:spacing w:after="0"/>
              <w:ind w:hanging="22"/>
              <w:rPr>
                <w:rFonts w:ascii="Times New Roman" w:eastAsia="Times New Roman" w:hAnsi="Times New Roman"/>
                <w:b/>
                <w:i/>
                <w:sz w:val="20"/>
                <w:szCs w:val="20"/>
                <w:lang w:eastAsia="es-CO"/>
              </w:rPr>
            </w:pPr>
          </w:p>
          <w:p w:rsidR="00E821E2" w:rsidRPr="009D530E" w:rsidRDefault="00E821E2" w:rsidP="00543CE6">
            <w:pPr>
              <w:spacing w:after="0"/>
              <w:ind w:hanging="22"/>
              <w:rPr>
                <w:rFonts w:ascii="Times New Roman" w:eastAsia="Times New Roman" w:hAnsi="Times New Roman"/>
                <w:b/>
                <w:i/>
                <w:sz w:val="20"/>
                <w:szCs w:val="20"/>
                <w:lang w:val="en-US" w:eastAsia="es-CO"/>
              </w:rPr>
            </w:pPr>
            <w:r w:rsidRPr="009D530E">
              <w:rPr>
                <w:rFonts w:ascii="Times New Roman" w:eastAsia="Times New Roman" w:hAnsi="Times New Roman"/>
                <w:b/>
                <w:i/>
                <w:sz w:val="20"/>
                <w:szCs w:val="20"/>
                <w:lang w:eastAsia="es-CO"/>
              </w:rPr>
              <w:t>Experimental warming</w:t>
            </w:r>
          </w:p>
        </w:tc>
      </w:tr>
      <w:tr w:rsidR="00E821E2" w:rsidRPr="009D530E" w:rsidTr="00543CE6">
        <w:trPr>
          <w:jc w:val="center"/>
        </w:trPr>
        <w:tc>
          <w:tcPr>
            <w:tcW w:w="3061" w:type="dxa"/>
            <w:tcMar>
              <w:top w:w="75" w:type="dxa"/>
              <w:left w:w="75" w:type="dxa"/>
              <w:bottom w:w="75" w:type="dxa"/>
              <w:right w:w="75" w:type="dxa"/>
            </w:tcMar>
            <w:vAlign w:val="center"/>
          </w:tcPr>
          <w:p w:rsidR="00E821E2" w:rsidRPr="009D530E" w:rsidRDefault="00E821E2" w:rsidP="00543CE6">
            <w:pPr>
              <w:spacing w:after="0"/>
              <w:ind w:hanging="22"/>
              <w:rPr>
                <w:rFonts w:ascii="Times New Roman" w:eastAsia="Times New Roman" w:hAnsi="Times New Roman"/>
                <w:sz w:val="20"/>
                <w:szCs w:val="20"/>
                <w:lang w:val="en-US" w:eastAsia="es-CO"/>
              </w:rPr>
            </w:pPr>
            <w:r w:rsidRPr="009D530E">
              <w:rPr>
                <w:rFonts w:ascii="Times New Roman" w:eastAsia="Times New Roman" w:hAnsi="Times New Roman"/>
                <w:sz w:val="20"/>
                <w:szCs w:val="20"/>
                <w:lang w:val="en-US" w:eastAsia="es-CO"/>
              </w:rPr>
              <w:t>Net photosynthesis (µm CO</w:t>
            </w:r>
            <w:r w:rsidRPr="009D530E">
              <w:rPr>
                <w:rFonts w:ascii="Times New Roman" w:eastAsia="Times New Roman" w:hAnsi="Times New Roman"/>
                <w:sz w:val="20"/>
                <w:szCs w:val="20"/>
                <w:vertAlign w:val="subscript"/>
                <w:lang w:val="en-US" w:eastAsia="es-CO"/>
              </w:rPr>
              <w:t>2</w:t>
            </w:r>
            <w:r w:rsidRPr="009D530E">
              <w:rPr>
                <w:rFonts w:ascii="Times New Roman" w:eastAsia="Times New Roman" w:hAnsi="Times New Roman"/>
                <w:sz w:val="20"/>
                <w:szCs w:val="20"/>
                <w:lang w:val="en-US" w:eastAsia="es-CO"/>
              </w:rPr>
              <w:t xml:space="preserve"> m</w:t>
            </w:r>
            <w:r w:rsidRPr="009D530E">
              <w:rPr>
                <w:rFonts w:ascii="Times New Roman" w:eastAsia="Times New Roman" w:hAnsi="Times New Roman"/>
                <w:sz w:val="20"/>
                <w:szCs w:val="20"/>
                <w:vertAlign w:val="superscript"/>
                <w:lang w:val="en-US" w:eastAsia="es-CO"/>
              </w:rPr>
              <w:t>-2</w:t>
            </w:r>
            <w:r w:rsidRPr="009D530E">
              <w:rPr>
                <w:rFonts w:ascii="Times New Roman" w:eastAsia="Times New Roman" w:hAnsi="Times New Roman"/>
                <w:sz w:val="20"/>
                <w:szCs w:val="20"/>
                <w:lang w:val="en-US" w:eastAsia="es-CO"/>
              </w:rPr>
              <w:t>s</w:t>
            </w:r>
            <w:r w:rsidRPr="009D530E">
              <w:rPr>
                <w:rFonts w:ascii="Times New Roman" w:eastAsia="Times New Roman" w:hAnsi="Times New Roman"/>
                <w:sz w:val="20"/>
                <w:szCs w:val="20"/>
                <w:vertAlign w:val="superscript"/>
                <w:lang w:val="en-US" w:eastAsia="es-CO"/>
              </w:rPr>
              <w:t>-1</w:t>
            </w:r>
            <w:r w:rsidRPr="009D530E">
              <w:rPr>
                <w:rFonts w:ascii="Times New Roman" w:eastAsia="Times New Roman" w:hAnsi="Times New Roman"/>
                <w:sz w:val="20"/>
                <w:szCs w:val="20"/>
                <w:lang w:val="en-US" w:eastAsia="es-CO"/>
              </w:rPr>
              <w:t>)</w:t>
            </w:r>
          </w:p>
        </w:tc>
        <w:tc>
          <w:tcPr>
            <w:tcW w:w="1528"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sz w:val="20"/>
                <w:szCs w:val="20"/>
                <w:lang w:val="en-US" w:eastAsia="es-CO"/>
              </w:rPr>
            </w:pPr>
            <w:r w:rsidRPr="009D530E">
              <w:rPr>
                <w:rFonts w:ascii="Times New Roman" w:eastAsia="Times New Roman" w:hAnsi="Times New Roman"/>
                <w:sz w:val="20"/>
                <w:szCs w:val="20"/>
                <w:lang w:eastAsia="es-CO"/>
              </w:rPr>
              <w:t>Pop</w:t>
            </w:r>
          </w:p>
        </w:tc>
        <w:tc>
          <w:tcPr>
            <w:tcW w:w="793"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2,42</w:t>
            </w:r>
          </w:p>
        </w:tc>
        <w:tc>
          <w:tcPr>
            <w:tcW w:w="750"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47.26</w:t>
            </w:r>
          </w:p>
        </w:tc>
        <w:tc>
          <w:tcPr>
            <w:tcW w:w="836"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23.63</w:t>
            </w:r>
          </w:p>
        </w:tc>
        <w:tc>
          <w:tcPr>
            <w:tcW w:w="836"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33.78</w:t>
            </w:r>
          </w:p>
        </w:tc>
        <w:tc>
          <w:tcPr>
            <w:tcW w:w="799"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b/>
                <w:sz w:val="20"/>
                <w:szCs w:val="20"/>
                <w:lang w:eastAsia="es-CO"/>
              </w:rPr>
              <w:t>&lt; 0.001</w:t>
            </w:r>
          </w:p>
        </w:tc>
      </w:tr>
      <w:tr w:rsidR="00E821E2" w:rsidRPr="009D530E" w:rsidTr="00543CE6">
        <w:trPr>
          <w:jc w:val="center"/>
        </w:trPr>
        <w:tc>
          <w:tcPr>
            <w:tcW w:w="3061" w:type="dxa"/>
            <w:tcMar>
              <w:top w:w="75" w:type="dxa"/>
              <w:left w:w="75" w:type="dxa"/>
              <w:bottom w:w="75" w:type="dxa"/>
              <w:right w:w="75" w:type="dxa"/>
            </w:tcMar>
            <w:vAlign w:val="center"/>
          </w:tcPr>
          <w:p w:rsidR="00E821E2" w:rsidRPr="009D530E" w:rsidRDefault="00E821E2" w:rsidP="00543CE6">
            <w:pPr>
              <w:spacing w:after="0"/>
              <w:ind w:hanging="22"/>
              <w:rPr>
                <w:rFonts w:ascii="Times New Roman" w:eastAsia="Times New Roman" w:hAnsi="Times New Roman"/>
                <w:sz w:val="20"/>
                <w:szCs w:val="20"/>
                <w:lang w:val="en-US" w:eastAsia="es-CO"/>
              </w:rPr>
            </w:pPr>
            <w:r w:rsidRPr="009D530E">
              <w:rPr>
                <w:rFonts w:ascii="Times New Roman" w:eastAsia="Times New Roman" w:hAnsi="Times New Roman"/>
                <w:sz w:val="20"/>
                <w:szCs w:val="20"/>
                <w:lang w:eastAsia="es-CO"/>
              </w:rPr>
              <w:t>Biomass accumulation (g)</w:t>
            </w:r>
          </w:p>
        </w:tc>
        <w:tc>
          <w:tcPr>
            <w:tcW w:w="1528"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sz w:val="20"/>
                <w:szCs w:val="20"/>
                <w:lang w:val="en-US" w:eastAsia="es-CO"/>
              </w:rPr>
            </w:pPr>
            <w:r w:rsidRPr="009D530E">
              <w:rPr>
                <w:rFonts w:ascii="Times New Roman" w:eastAsia="Times New Roman" w:hAnsi="Times New Roman"/>
                <w:sz w:val="20"/>
                <w:szCs w:val="20"/>
                <w:lang w:eastAsia="es-CO"/>
              </w:rPr>
              <w:t>Pop</w:t>
            </w:r>
          </w:p>
        </w:tc>
        <w:tc>
          <w:tcPr>
            <w:tcW w:w="793"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2,42</w:t>
            </w:r>
          </w:p>
        </w:tc>
        <w:tc>
          <w:tcPr>
            <w:tcW w:w="750"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16.31</w:t>
            </w:r>
          </w:p>
        </w:tc>
        <w:tc>
          <w:tcPr>
            <w:tcW w:w="836"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8.15</w:t>
            </w:r>
          </w:p>
        </w:tc>
        <w:tc>
          <w:tcPr>
            <w:tcW w:w="836"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4.29</w:t>
            </w:r>
          </w:p>
        </w:tc>
        <w:tc>
          <w:tcPr>
            <w:tcW w:w="799" w:type="dxa"/>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b/>
                <w:sz w:val="20"/>
                <w:szCs w:val="20"/>
                <w:lang w:eastAsia="es-CO"/>
              </w:rPr>
              <w:t>0.020</w:t>
            </w:r>
          </w:p>
        </w:tc>
      </w:tr>
      <w:tr w:rsidR="00E821E2" w:rsidRPr="009D530E" w:rsidTr="00543CE6">
        <w:trPr>
          <w:jc w:val="center"/>
        </w:trPr>
        <w:tc>
          <w:tcPr>
            <w:tcW w:w="3061" w:type="dxa"/>
            <w:tcBorders>
              <w:bottom w:val="single" w:sz="4" w:space="0" w:color="auto"/>
            </w:tcBorders>
            <w:tcMar>
              <w:top w:w="75" w:type="dxa"/>
              <w:left w:w="75" w:type="dxa"/>
              <w:bottom w:w="75" w:type="dxa"/>
              <w:right w:w="75" w:type="dxa"/>
            </w:tcMar>
            <w:vAlign w:val="center"/>
          </w:tcPr>
          <w:p w:rsidR="00E821E2" w:rsidRPr="009D530E" w:rsidRDefault="00E821E2" w:rsidP="00543CE6">
            <w:pPr>
              <w:spacing w:after="0"/>
              <w:ind w:hanging="22"/>
              <w:rPr>
                <w:rFonts w:ascii="Times New Roman" w:eastAsia="Times New Roman" w:hAnsi="Times New Roman"/>
                <w:sz w:val="20"/>
                <w:szCs w:val="20"/>
                <w:lang w:val="en-US" w:eastAsia="es-CO"/>
              </w:rPr>
            </w:pPr>
            <w:r w:rsidRPr="009D530E">
              <w:rPr>
                <w:rFonts w:ascii="Times New Roman" w:eastAsia="Times New Roman" w:hAnsi="Times New Roman"/>
                <w:sz w:val="20"/>
                <w:szCs w:val="20"/>
                <w:lang w:eastAsia="es-CO"/>
              </w:rPr>
              <w:t>Flower production (n)</w:t>
            </w:r>
          </w:p>
        </w:tc>
        <w:tc>
          <w:tcPr>
            <w:tcW w:w="1528" w:type="dxa"/>
            <w:tcBorders>
              <w:bottom w:val="single" w:sz="4" w:space="0" w:color="auto"/>
            </w:tcBorders>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sz w:val="20"/>
                <w:szCs w:val="20"/>
                <w:lang w:val="en-US" w:eastAsia="es-CO"/>
              </w:rPr>
            </w:pPr>
            <w:r w:rsidRPr="009D530E">
              <w:rPr>
                <w:rFonts w:ascii="Times New Roman" w:eastAsia="Times New Roman" w:hAnsi="Times New Roman"/>
                <w:sz w:val="20"/>
                <w:szCs w:val="20"/>
                <w:lang w:eastAsia="es-CO"/>
              </w:rPr>
              <w:t>Pop</w:t>
            </w:r>
          </w:p>
        </w:tc>
        <w:tc>
          <w:tcPr>
            <w:tcW w:w="793" w:type="dxa"/>
            <w:tcBorders>
              <w:bottom w:val="single" w:sz="4" w:space="0" w:color="auto"/>
            </w:tcBorders>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2,42</w:t>
            </w:r>
          </w:p>
        </w:tc>
        <w:tc>
          <w:tcPr>
            <w:tcW w:w="750" w:type="dxa"/>
            <w:tcBorders>
              <w:bottom w:val="single" w:sz="4" w:space="0" w:color="auto"/>
            </w:tcBorders>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9.64</w:t>
            </w:r>
          </w:p>
        </w:tc>
        <w:tc>
          <w:tcPr>
            <w:tcW w:w="836" w:type="dxa"/>
            <w:tcBorders>
              <w:bottom w:val="single" w:sz="4" w:space="0" w:color="auto"/>
            </w:tcBorders>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4.82</w:t>
            </w:r>
          </w:p>
        </w:tc>
        <w:tc>
          <w:tcPr>
            <w:tcW w:w="836" w:type="dxa"/>
            <w:tcBorders>
              <w:bottom w:val="single" w:sz="4" w:space="0" w:color="auto"/>
            </w:tcBorders>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sz w:val="20"/>
                <w:szCs w:val="20"/>
                <w:lang w:eastAsia="es-CO"/>
              </w:rPr>
              <w:t>3.79</w:t>
            </w:r>
          </w:p>
        </w:tc>
        <w:tc>
          <w:tcPr>
            <w:tcW w:w="799" w:type="dxa"/>
            <w:tcBorders>
              <w:bottom w:val="single" w:sz="4" w:space="0" w:color="auto"/>
            </w:tcBorders>
            <w:tcMar>
              <w:top w:w="75" w:type="dxa"/>
              <w:left w:w="75" w:type="dxa"/>
              <w:bottom w:w="75" w:type="dxa"/>
              <w:right w:w="75" w:type="dxa"/>
            </w:tcMar>
            <w:vAlign w:val="center"/>
          </w:tcPr>
          <w:p w:rsidR="00E821E2" w:rsidRPr="009D530E" w:rsidRDefault="00E821E2" w:rsidP="00543CE6">
            <w:pPr>
              <w:spacing w:after="0"/>
              <w:jc w:val="center"/>
              <w:rPr>
                <w:rFonts w:ascii="Times New Roman" w:eastAsia="Times New Roman" w:hAnsi="Times New Roman"/>
                <w:b/>
                <w:i/>
                <w:sz w:val="20"/>
                <w:szCs w:val="20"/>
                <w:lang w:val="en-US" w:eastAsia="es-CO"/>
              </w:rPr>
            </w:pPr>
            <w:r w:rsidRPr="009D530E">
              <w:rPr>
                <w:rFonts w:ascii="Times New Roman" w:eastAsia="Times New Roman" w:hAnsi="Times New Roman"/>
                <w:b/>
                <w:sz w:val="20"/>
                <w:szCs w:val="20"/>
                <w:lang w:eastAsia="es-CO"/>
              </w:rPr>
              <w:t>0.031</w:t>
            </w:r>
          </w:p>
        </w:tc>
      </w:tr>
    </w:tbl>
    <w:p w:rsidR="00096EA8" w:rsidRDefault="00096EA8" w:rsidP="00D166FC">
      <w:pPr>
        <w:spacing w:after="0" w:line="480" w:lineRule="auto"/>
        <w:jc w:val="both"/>
      </w:pPr>
      <w:bookmarkStart w:id="0" w:name="_GoBack"/>
      <w:bookmarkEnd w:id="0"/>
    </w:p>
    <w:sectPr w:rsidR="00096EA8" w:rsidSect="00543CE6">
      <w:pgSz w:w="11900" w:h="16840"/>
      <w:pgMar w:top="1077" w:right="1077" w:bottom="1077" w:left="1077" w:header="709" w:footer="709" w:gutter="0"/>
      <w:lnNumType w:countBy="1" w:restart="continuou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E2"/>
    <w:rsid w:val="00096EA8"/>
    <w:rsid w:val="00543CE6"/>
    <w:rsid w:val="00640A29"/>
    <w:rsid w:val="00D166FC"/>
    <w:rsid w:val="00E52F71"/>
    <w:rsid w:val="00E821E2"/>
    <w:rsid w:val="00EB5F3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1E2"/>
    <w:pPr>
      <w:spacing w:after="200" w:line="276" w:lineRule="auto"/>
    </w:pPr>
    <w:rPr>
      <w:rFonts w:ascii="Calibri" w:eastAsia="Calibri" w:hAnsi="Calibri"/>
      <w:sz w:val="22"/>
      <w:szCs w:val="22"/>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821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1E2"/>
    <w:pPr>
      <w:spacing w:after="200" w:line="276" w:lineRule="auto"/>
    </w:pPr>
    <w:rPr>
      <w:rFonts w:ascii="Calibri" w:eastAsia="Calibri" w:hAnsi="Calibri"/>
      <w:sz w:val="22"/>
      <w:szCs w:val="22"/>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82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CEAZA</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Molina</dc:creator>
  <cp:keywords/>
  <dc:description/>
  <cp:lastModifiedBy>Marco Molina</cp:lastModifiedBy>
  <cp:revision>2</cp:revision>
  <dcterms:created xsi:type="dcterms:W3CDTF">2017-06-28T06:10:00Z</dcterms:created>
  <dcterms:modified xsi:type="dcterms:W3CDTF">2017-06-28T06:10:00Z</dcterms:modified>
</cp:coreProperties>
</file>