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28DC9" w14:textId="77777777" w:rsidR="002868E2" w:rsidRPr="00376CC5" w:rsidRDefault="00787B83" w:rsidP="00376CC5">
      <w:pPr>
        <w:pStyle w:val="Titel"/>
      </w:pPr>
      <w:r w:rsidRPr="00787B83">
        <w:t xml:space="preserve">Validation and development of freshwater invertebrate </w:t>
      </w:r>
      <w:proofErr w:type="spellStart"/>
      <w:r w:rsidRPr="00787B83">
        <w:t>metabarcoding</w:t>
      </w:r>
      <w:proofErr w:type="spellEnd"/>
      <w:r w:rsidRPr="00787B83">
        <w:t xml:space="preserve"> COI primers for Environmental Impact Assessment</w:t>
      </w:r>
    </w:p>
    <w:p w14:paraId="558630A9" w14:textId="77777777" w:rsidR="002868E2" w:rsidRPr="00376CC5" w:rsidRDefault="00787B83" w:rsidP="00651CA2">
      <w:pPr>
        <w:pStyle w:val="AuthorList"/>
      </w:pPr>
      <w:r w:rsidRPr="00C93225">
        <w:rPr>
          <w:lang w:val="en-GB"/>
        </w:rPr>
        <w:t>Vasco Elbrecht</w:t>
      </w:r>
      <w:r w:rsidRPr="00787B83">
        <w:rPr>
          <w:vertAlign w:val="superscript"/>
          <w:lang w:val="en-GB"/>
        </w:rPr>
        <w:t>*</w:t>
      </w:r>
      <w:r w:rsidR="00A75F87" w:rsidRPr="00A545C6">
        <w:rPr>
          <w:vertAlign w:val="superscript"/>
        </w:rPr>
        <w:t>1</w:t>
      </w:r>
      <w:r w:rsidR="002868E2" w:rsidRPr="00376CC5">
        <w:t xml:space="preserve">, </w:t>
      </w:r>
      <w:r w:rsidRPr="00787B83">
        <w:t xml:space="preserve">Florian </w:t>
      </w:r>
      <w:proofErr w:type="spellStart"/>
      <w:r w:rsidRPr="00787B83">
        <w:t>Leese</w:t>
      </w:r>
      <w:proofErr w:type="spellEnd"/>
      <w:r w:rsidRPr="00787B83">
        <w:t xml:space="preserve"> </w:t>
      </w:r>
      <w:r w:rsidR="00A75F87" w:rsidRPr="00A545C6">
        <w:rPr>
          <w:vertAlign w:val="superscript"/>
        </w:rPr>
        <w:t>1,2</w:t>
      </w:r>
    </w:p>
    <w:p w14:paraId="180598AA" w14:textId="77777777" w:rsidR="002868E2" w:rsidRPr="00376CC5" w:rsidRDefault="002868E2" w:rsidP="006B2D5B">
      <w:pPr>
        <w:spacing w:before="240" w:after="0"/>
        <w:rPr>
          <w:rFonts w:cs="Times New Roman"/>
          <w:b/>
          <w:szCs w:val="24"/>
        </w:rPr>
      </w:pPr>
      <w:r w:rsidRPr="00376CC5">
        <w:rPr>
          <w:rFonts w:cs="Times New Roman"/>
          <w:szCs w:val="24"/>
          <w:vertAlign w:val="superscript"/>
        </w:rPr>
        <w:t>1</w:t>
      </w:r>
      <w:r w:rsidR="00DB41E2" w:rsidRPr="00C93225">
        <w:rPr>
          <w:szCs w:val="24"/>
        </w:rPr>
        <w:t>Aquatic Ecosystem Research, Faculty of Biology, University of Duisburg-Essen, Essen, Germany</w:t>
      </w:r>
    </w:p>
    <w:p w14:paraId="29BE805C" w14:textId="77777777" w:rsidR="002868E2" w:rsidRPr="00376CC5" w:rsidRDefault="002868E2" w:rsidP="006B2D5B">
      <w:pPr>
        <w:spacing w:after="0"/>
        <w:rPr>
          <w:rFonts w:cs="Times New Roman"/>
          <w:b/>
          <w:szCs w:val="24"/>
        </w:rPr>
      </w:pPr>
      <w:r w:rsidRPr="00376CC5">
        <w:rPr>
          <w:rFonts w:cs="Times New Roman"/>
          <w:szCs w:val="24"/>
          <w:vertAlign w:val="superscript"/>
        </w:rPr>
        <w:t>2</w:t>
      </w:r>
      <w:r w:rsidR="00DB41E2" w:rsidRPr="00C93225">
        <w:rPr>
          <w:szCs w:val="24"/>
        </w:rPr>
        <w:t>Centre for Water and Environmental Research (ZWU) Essen, University of Duisburg-Essen, Essen, Germany</w:t>
      </w:r>
    </w:p>
    <w:p w14:paraId="0C4F11A8" w14:textId="77777777" w:rsidR="002868E2" w:rsidRPr="00376CC5" w:rsidRDefault="002868E2" w:rsidP="00671D9A">
      <w:pPr>
        <w:spacing w:before="240" w:after="0"/>
        <w:rPr>
          <w:rFonts w:cs="Times New Roman"/>
          <w:b/>
          <w:szCs w:val="24"/>
        </w:rPr>
      </w:pPr>
      <w:r w:rsidRPr="00376CC5">
        <w:rPr>
          <w:rFonts w:cs="Times New Roman"/>
          <w:b/>
          <w:szCs w:val="24"/>
        </w:rPr>
        <w:t xml:space="preserve">* Correspondence: </w:t>
      </w:r>
      <w:r w:rsidR="00671D9A" w:rsidRPr="00376CC5">
        <w:rPr>
          <w:rFonts w:cs="Times New Roman"/>
          <w:b/>
          <w:szCs w:val="24"/>
        </w:rPr>
        <w:br/>
      </w:r>
      <w:r w:rsidR="00787B83">
        <w:rPr>
          <w:rFonts w:cs="Times New Roman"/>
          <w:szCs w:val="24"/>
        </w:rPr>
        <w:t>Vasco Elbrecht</w:t>
      </w:r>
      <w:r w:rsidR="00671D9A" w:rsidRPr="00376CC5">
        <w:rPr>
          <w:rFonts w:cs="Times New Roman"/>
          <w:szCs w:val="24"/>
        </w:rPr>
        <w:br/>
      </w:r>
      <w:r w:rsidR="00787B83">
        <w:rPr>
          <w:rFonts w:cs="Times New Roman"/>
          <w:szCs w:val="24"/>
        </w:rPr>
        <w:t>Vasco.Elbrecht</w:t>
      </w:r>
      <w:r w:rsidRPr="00376CC5">
        <w:rPr>
          <w:rFonts w:cs="Times New Roman"/>
          <w:szCs w:val="24"/>
        </w:rPr>
        <w:t>@uni</w:t>
      </w:r>
      <w:r w:rsidR="00787B83">
        <w:rPr>
          <w:rFonts w:cs="Times New Roman"/>
          <w:szCs w:val="24"/>
        </w:rPr>
        <w:t>-due</w:t>
      </w:r>
      <w:r w:rsidRPr="00376CC5">
        <w:rPr>
          <w:rFonts w:cs="Times New Roman"/>
          <w:szCs w:val="24"/>
        </w:rPr>
        <w:t>.</w:t>
      </w:r>
      <w:r w:rsidR="00787B83">
        <w:rPr>
          <w:rFonts w:cs="Times New Roman"/>
          <w:szCs w:val="24"/>
        </w:rPr>
        <w:t>de</w:t>
      </w:r>
    </w:p>
    <w:p w14:paraId="50651167" w14:textId="77777777" w:rsidR="00EA3D3C" w:rsidRPr="00376CC5" w:rsidRDefault="00817DD6" w:rsidP="00651CA2">
      <w:pPr>
        <w:pStyle w:val="AuthorList"/>
      </w:pPr>
      <w:r w:rsidRPr="00376CC5">
        <w:t xml:space="preserve">Keywords: </w:t>
      </w:r>
      <w:r w:rsidR="00DB41E2">
        <w:t xml:space="preserve">DNA </w:t>
      </w:r>
      <w:r w:rsidR="00DB41E2" w:rsidRPr="00C93225">
        <w:t xml:space="preserve">Barcoding, Primer development, primer evaluation, primer bias, ecosystem assessment, </w:t>
      </w:r>
      <w:r w:rsidR="00DB41E2" w:rsidRPr="00DB41E2">
        <w:rPr>
          <w:i/>
        </w:rPr>
        <w:t xml:space="preserve">in </w:t>
      </w:r>
      <w:proofErr w:type="spellStart"/>
      <w:r w:rsidR="00DB41E2" w:rsidRPr="00DB41E2">
        <w:rPr>
          <w:i/>
        </w:rPr>
        <w:t>silico</w:t>
      </w:r>
      <w:proofErr w:type="spellEnd"/>
      <w:r w:rsidR="00DB41E2" w:rsidRPr="00C93225">
        <w:t xml:space="preserve"> </w:t>
      </w:r>
      <w:r w:rsidR="00DB41E2">
        <w:t>PCR</w:t>
      </w:r>
    </w:p>
    <w:p w14:paraId="50597F2C" w14:textId="77777777" w:rsidR="008E2B54" w:rsidRPr="00376CC5" w:rsidRDefault="00EA3D3C" w:rsidP="00147395">
      <w:pPr>
        <w:pStyle w:val="AuthorList"/>
      </w:pPr>
      <w:r w:rsidRPr="00376CC5">
        <w:t>Abstract</w:t>
      </w:r>
    </w:p>
    <w:p w14:paraId="1470A443" w14:textId="77777777" w:rsidR="00DB41E2" w:rsidRPr="00C93225" w:rsidRDefault="00DB41E2" w:rsidP="00DB41E2">
      <w:pPr>
        <w:pStyle w:val="LO-normal"/>
        <w:spacing w:line="240" w:lineRule="auto"/>
        <w:rPr>
          <w:bCs/>
          <w:sz w:val="24"/>
          <w:szCs w:val="24"/>
        </w:rPr>
      </w:pPr>
      <w:r w:rsidRPr="00C93225">
        <w:rPr>
          <w:bCs/>
          <w:sz w:val="24"/>
          <w:szCs w:val="24"/>
        </w:rPr>
        <w:t xml:space="preserve">To assess and manage human impacts on freshwater ecosystems is a central challenge in the present era of biodiversity loss. </w:t>
      </w:r>
      <w:proofErr w:type="spellStart"/>
      <w:r w:rsidRPr="00C93225">
        <w:rPr>
          <w:bCs/>
          <w:sz w:val="24"/>
          <w:szCs w:val="24"/>
        </w:rPr>
        <w:t>Macroinvertebrates</w:t>
      </w:r>
      <w:proofErr w:type="spellEnd"/>
      <w:r w:rsidRPr="00C93225">
        <w:rPr>
          <w:bCs/>
          <w:sz w:val="24"/>
          <w:szCs w:val="24"/>
        </w:rPr>
        <w:t xml:space="preserve"> are an ideal group for Environmental Impacts Assessment (EIA). However, generating accurate </w:t>
      </w:r>
      <w:proofErr w:type="spellStart"/>
      <w:r w:rsidRPr="00C93225">
        <w:rPr>
          <w:bCs/>
          <w:sz w:val="24"/>
          <w:szCs w:val="24"/>
        </w:rPr>
        <w:t>macroinvertebrate</w:t>
      </w:r>
      <w:proofErr w:type="spellEnd"/>
      <w:r w:rsidRPr="00C93225">
        <w:rPr>
          <w:bCs/>
          <w:sz w:val="24"/>
          <w:szCs w:val="24"/>
        </w:rPr>
        <w:t xml:space="preserve"> inventories is difficult and error-prone based on larval morphology. Here, DNA </w:t>
      </w:r>
      <w:proofErr w:type="spellStart"/>
      <w:r w:rsidRPr="00C93225">
        <w:rPr>
          <w:bCs/>
          <w:sz w:val="24"/>
          <w:szCs w:val="24"/>
        </w:rPr>
        <w:t>metabarcoding</w:t>
      </w:r>
      <w:proofErr w:type="spellEnd"/>
      <w:r w:rsidRPr="00C93225">
        <w:rPr>
          <w:bCs/>
          <w:sz w:val="24"/>
          <w:szCs w:val="24"/>
        </w:rPr>
        <w:t xml:space="preserve"> provides new opportunities. Its potential to accurately identify bulk invertebrates on species level has been demonstrated in several case studies. However, DNA based identification is often limited by primer bias, potentially leading to taxa in the sample remaining undetected. Thus, the success of DNA </w:t>
      </w:r>
      <w:proofErr w:type="spellStart"/>
      <w:r w:rsidRPr="00C93225">
        <w:rPr>
          <w:bCs/>
          <w:sz w:val="24"/>
          <w:szCs w:val="24"/>
        </w:rPr>
        <w:t>metabarcoding</w:t>
      </w:r>
      <w:proofErr w:type="spellEnd"/>
      <w:r w:rsidRPr="00C93225">
        <w:rPr>
          <w:bCs/>
          <w:sz w:val="24"/>
          <w:szCs w:val="24"/>
        </w:rPr>
        <w:t xml:space="preserve"> as an emerging technique for EIA critically relies on carefully evaluated primers.</w:t>
      </w:r>
    </w:p>
    <w:p w14:paraId="405A59AF" w14:textId="77777777" w:rsidR="00DB41E2" w:rsidRPr="00C93225" w:rsidRDefault="00DB41E2" w:rsidP="00DB41E2">
      <w:pPr>
        <w:pStyle w:val="LO-normal"/>
        <w:spacing w:line="240" w:lineRule="auto"/>
        <w:rPr>
          <w:bCs/>
          <w:sz w:val="24"/>
          <w:szCs w:val="24"/>
        </w:rPr>
      </w:pPr>
      <w:r w:rsidRPr="00C93225">
        <w:rPr>
          <w:bCs/>
          <w:sz w:val="24"/>
          <w:szCs w:val="24"/>
        </w:rPr>
        <w:tab/>
        <w:t xml:space="preserve">We used the R package </w:t>
      </w:r>
      <w:proofErr w:type="spellStart"/>
      <w:r w:rsidRPr="00C93225">
        <w:rPr>
          <w:bCs/>
          <w:sz w:val="24"/>
          <w:szCs w:val="24"/>
        </w:rPr>
        <w:t>PrimerMiner</w:t>
      </w:r>
      <w:proofErr w:type="spellEnd"/>
      <w:r w:rsidRPr="00C93225">
        <w:rPr>
          <w:bCs/>
          <w:sz w:val="24"/>
          <w:szCs w:val="24"/>
        </w:rPr>
        <w:t xml:space="preserve"> to obtain and process </w:t>
      </w:r>
      <w:r w:rsidRPr="00C93225">
        <w:rPr>
          <w:sz w:val="24"/>
          <w:szCs w:val="24"/>
        </w:rPr>
        <w:t>cytochrome c oxidase I (</w:t>
      </w:r>
      <w:r w:rsidRPr="00C93225">
        <w:rPr>
          <w:bCs/>
          <w:sz w:val="24"/>
          <w:szCs w:val="24"/>
        </w:rPr>
        <w:t xml:space="preserve">COI) sequence data for the 15 globally most relevant freshwater invertebrate groups in EIAs. Using these sequence alignments, we developed four primers combinations optimized for freshwater </w:t>
      </w:r>
      <w:proofErr w:type="spellStart"/>
      <w:r w:rsidRPr="00C93225">
        <w:rPr>
          <w:bCs/>
          <w:sz w:val="24"/>
          <w:szCs w:val="24"/>
        </w:rPr>
        <w:t>macrozoobenthos</w:t>
      </w:r>
      <w:proofErr w:type="spellEnd"/>
      <w:r w:rsidRPr="00C93225">
        <w:rPr>
          <w:bCs/>
          <w:sz w:val="24"/>
          <w:szCs w:val="24"/>
        </w:rPr>
        <w:t xml:space="preserve">. All primers were evaluated by sequencing ten mock community samples each consisting of 52 freshwater invertebrate taxa. Additionally popular </w:t>
      </w:r>
      <w:proofErr w:type="spellStart"/>
      <w:r w:rsidRPr="00C93225">
        <w:rPr>
          <w:bCs/>
          <w:sz w:val="24"/>
          <w:szCs w:val="24"/>
        </w:rPr>
        <w:t>metabarcoding</w:t>
      </w:r>
      <w:proofErr w:type="spellEnd"/>
      <w:r w:rsidRPr="00C93225">
        <w:rPr>
          <w:bCs/>
          <w:sz w:val="24"/>
          <w:szCs w:val="24"/>
        </w:rPr>
        <w:t xml:space="preserve"> primers from the literature and the here developed primers were tested </w:t>
      </w:r>
      <w:r w:rsidRPr="00C93225">
        <w:rPr>
          <w:bCs/>
          <w:i/>
          <w:sz w:val="24"/>
          <w:szCs w:val="24"/>
        </w:rPr>
        <w:t xml:space="preserve">in </w:t>
      </w:r>
      <w:proofErr w:type="spellStart"/>
      <w:r w:rsidRPr="00C93225">
        <w:rPr>
          <w:bCs/>
          <w:i/>
          <w:sz w:val="24"/>
          <w:szCs w:val="24"/>
        </w:rPr>
        <w:t>silico</w:t>
      </w:r>
      <w:proofErr w:type="spellEnd"/>
      <w:r w:rsidRPr="00C93225">
        <w:rPr>
          <w:bCs/>
          <w:sz w:val="24"/>
          <w:szCs w:val="24"/>
        </w:rPr>
        <w:t xml:space="preserve"> against the 15 relevant invertebrate groups. </w:t>
      </w:r>
    </w:p>
    <w:p w14:paraId="652F6304" w14:textId="77777777" w:rsidR="00DB41E2" w:rsidRPr="00C93225" w:rsidRDefault="00DB41E2" w:rsidP="00DB41E2">
      <w:pPr>
        <w:pStyle w:val="LO-normal"/>
        <w:spacing w:line="240" w:lineRule="auto"/>
        <w:rPr>
          <w:bCs/>
          <w:sz w:val="24"/>
          <w:szCs w:val="24"/>
        </w:rPr>
      </w:pPr>
      <w:r w:rsidRPr="00C93225">
        <w:rPr>
          <w:bCs/>
          <w:sz w:val="24"/>
          <w:szCs w:val="24"/>
        </w:rPr>
        <w:tab/>
        <w:t>The developed primers varied in amplification efficiency and the amount of detected taxa, yet all retrieved more taxa than standard ‘</w:t>
      </w:r>
      <w:proofErr w:type="spellStart"/>
      <w:r w:rsidRPr="00C93225">
        <w:rPr>
          <w:bCs/>
          <w:sz w:val="24"/>
          <w:szCs w:val="24"/>
        </w:rPr>
        <w:t>Folmer</w:t>
      </w:r>
      <w:proofErr w:type="spellEnd"/>
      <w:r w:rsidRPr="00C93225">
        <w:rPr>
          <w:bCs/>
          <w:sz w:val="24"/>
          <w:szCs w:val="24"/>
        </w:rPr>
        <w:t xml:space="preserve">’ barcoding primers. Two new primer combinations showed more consistent amplification than a previously tested ribosomal marker (16S) and detected all 42 insect taxa present in the mock community samples. </w:t>
      </w:r>
      <w:r w:rsidRPr="00C93225">
        <w:rPr>
          <w:bCs/>
          <w:i/>
          <w:sz w:val="24"/>
          <w:szCs w:val="24"/>
        </w:rPr>
        <w:t xml:space="preserve">In </w:t>
      </w:r>
      <w:proofErr w:type="spellStart"/>
      <w:r w:rsidRPr="00C93225">
        <w:rPr>
          <w:bCs/>
          <w:i/>
          <w:sz w:val="24"/>
          <w:szCs w:val="24"/>
        </w:rPr>
        <w:t>silico</w:t>
      </w:r>
      <w:proofErr w:type="spellEnd"/>
      <w:r w:rsidRPr="00C93225">
        <w:rPr>
          <w:bCs/>
          <w:sz w:val="24"/>
          <w:szCs w:val="24"/>
        </w:rPr>
        <w:t xml:space="preserve"> evaluation revealed critical design flaws in some commonly used primers from the literature. </w:t>
      </w:r>
    </w:p>
    <w:p w14:paraId="65F6857D" w14:textId="77777777" w:rsidR="00DB41E2" w:rsidRDefault="00DB41E2" w:rsidP="00DB41E2">
      <w:pPr>
        <w:pStyle w:val="LO-normal"/>
        <w:spacing w:line="240" w:lineRule="auto"/>
        <w:rPr>
          <w:bCs/>
          <w:sz w:val="24"/>
          <w:szCs w:val="24"/>
        </w:rPr>
      </w:pPr>
      <w:r w:rsidRPr="00C93225">
        <w:rPr>
          <w:bCs/>
          <w:sz w:val="24"/>
          <w:szCs w:val="24"/>
        </w:rPr>
        <w:tab/>
        <w:t>We demonstrate a reliable strategy to develop</w:t>
      </w:r>
      <w:r w:rsidRPr="00C93225">
        <w:rPr>
          <w:sz w:val="24"/>
          <w:szCs w:val="24"/>
        </w:rPr>
        <w:t xml:space="preserve"> optimized primers using the tool </w:t>
      </w:r>
      <w:proofErr w:type="spellStart"/>
      <w:r w:rsidRPr="00C93225">
        <w:rPr>
          <w:sz w:val="24"/>
          <w:szCs w:val="24"/>
        </w:rPr>
        <w:t>PrimerMiner</w:t>
      </w:r>
      <w:proofErr w:type="spellEnd"/>
      <w:r w:rsidRPr="00C93225">
        <w:rPr>
          <w:sz w:val="24"/>
          <w:szCs w:val="24"/>
        </w:rPr>
        <w:t xml:space="preserve">. The developed primers detected almost all taxa present in the mock samples, and we argue that high base degeneracy is necessary to decrease primer bias as confirmed by experimental results and </w:t>
      </w:r>
      <w:r w:rsidRPr="00C93225">
        <w:rPr>
          <w:i/>
          <w:sz w:val="24"/>
          <w:szCs w:val="24"/>
        </w:rPr>
        <w:t xml:space="preserve">in </w:t>
      </w:r>
      <w:proofErr w:type="spellStart"/>
      <w:r w:rsidRPr="00C93225">
        <w:rPr>
          <w:i/>
          <w:sz w:val="24"/>
          <w:szCs w:val="24"/>
        </w:rPr>
        <w:t>silico</w:t>
      </w:r>
      <w:proofErr w:type="spellEnd"/>
      <w:r w:rsidRPr="00C93225">
        <w:rPr>
          <w:sz w:val="24"/>
          <w:szCs w:val="24"/>
        </w:rPr>
        <w:t xml:space="preserve"> primer evaluation</w:t>
      </w:r>
      <w:r w:rsidRPr="00C93225">
        <w:rPr>
          <w:bCs/>
          <w:sz w:val="24"/>
          <w:szCs w:val="24"/>
        </w:rPr>
        <w:t xml:space="preserve">. We further demonstrate that not all primers currently used in </w:t>
      </w:r>
      <w:proofErr w:type="spellStart"/>
      <w:r w:rsidRPr="00C93225">
        <w:rPr>
          <w:bCs/>
          <w:sz w:val="24"/>
          <w:szCs w:val="24"/>
        </w:rPr>
        <w:t>metabarcoding</w:t>
      </w:r>
      <w:proofErr w:type="spellEnd"/>
      <w:r w:rsidRPr="00C93225">
        <w:rPr>
          <w:bCs/>
          <w:sz w:val="24"/>
          <w:szCs w:val="24"/>
        </w:rPr>
        <w:t xml:space="preserve"> studies are likely not suitable for amplification of insect and freshwater taxa. Thus careful primer evaluation and more region / ecosystem specific primers might be needed, before DNA </w:t>
      </w:r>
      <w:proofErr w:type="spellStart"/>
      <w:r w:rsidRPr="00C93225">
        <w:rPr>
          <w:bCs/>
          <w:sz w:val="24"/>
          <w:szCs w:val="24"/>
        </w:rPr>
        <w:t>metabarcoding</w:t>
      </w:r>
      <w:proofErr w:type="spellEnd"/>
      <w:r w:rsidRPr="00C93225">
        <w:rPr>
          <w:bCs/>
          <w:sz w:val="24"/>
          <w:szCs w:val="24"/>
        </w:rPr>
        <w:t xml:space="preserve"> can be used for routine EIA of freshwater ecosystems.</w:t>
      </w:r>
    </w:p>
    <w:p w14:paraId="2A138B00" w14:textId="77777777" w:rsidR="00F24E9D" w:rsidRPr="00C93225" w:rsidRDefault="00F24E9D" w:rsidP="00DB41E2">
      <w:pPr>
        <w:pStyle w:val="LO-normal"/>
        <w:spacing w:line="240" w:lineRule="auto"/>
        <w:rPr>
          <w:bCs/>
          <w:sz w:val="24"/>
          <w:szCs w:val="24"/>
        </w:rPr>
      </w:pPr>
    </w:p>
    <w:p w14:paraId="3D6C01F9" w14:textId="77777777" w:rsidR="00EA3D3C" w:rsidRPr="00376CC5" w:rsidRDefault="00EA3D3C" w:rsidP="00D9503C">
      <w:pPr>
        <w:pStyle w:val="berschrift1"/>
      </w:pPr>
      <w:r w:rsidRPr="00376CC5">
        <w:lastRenderedPageBreak/>
        <w:t>Introduction</w:t>
      </w:r>
    </w:p>
    <w:p w14:paraId="73948712" w14:textId="77777777" w:rsidR="00DB41E2" w:rsidRDefault="00DB41E2" w:rsidP="00DB41E2">
      <w:pPr>
        <w:pStyle w:val="KeinLeerraum"/>
      </w:pPr>
      <w:r>
        <w:t xml:space="preserve">Freshwater resources world wide are threatened by anthropogenic activities, and with exponential increase of human population the pressure on these sensitive ecosystems will further increase </w:t>
      </w:r>
      <w:r>
        <w:fldChar w:fldCharType="begin"/>
      </w:r>
      <w:r>
        <w:instrText xml:space="preserve"> ADDIN PAPERS2_CITATIONS &lt;citation&gt;&lt;uuid&gt;61BD3989-0D4B-4D8D-AB27-79687FEB795E&lt;/uuid&gt;&lt;priority&gt;0&lt;/priority&gt;&lt;publications&gt;&lt;publication&gt;&lt;volume&gt;81&lt;/volume&gt;&lt;publication_date&gt;99200512121200000000222000&lt;/publication_date&gt;&lt;number&gt;02&lt;/number&gt;&lt;doi&gt;10.1017/S1464793105006950&lt;/doi&gt;&lt;startpage&gt;163&lt;/startpage&gt;&lt;title&gt;Freshwater biodiversity: importance, threats, status and conservation challenges&lt;/title&gt;&lt;uuid&gt;AD42E028-DD2C-446B-8CCE-42F3BF974F55&lt;/uuid&gt;&lt;subtype&gt;400&lt;/subtype&gt;&lt;type&gt;400&lt;/type&gt;&lt;citekey&gt;Dudgeon:2005jo&lt;/citekey&gt;&lt;url&gt;http://doi.wiley.com/10.1017/S1464793105006950&lt;/url&gt;&lt;bundle&gt;&lt;publication&gt;&lt;title&gt;Biological Reviews&lt;/title&gt;&lt;type&gt;-100&lt;/type&gt;&lt;subtype&gt;-100&lt;/subtype&gt;&lt;uuid&gt;1B187E45-FFD2-4156-BD5B-6290C33A767F&lt;/uuid&gt;&lt;/publication&gt;&lt;/bundle&gt;&lt;authors&gt;&lt;author&gt;&lt;firstName&gt;David&lt;/firstName&gt;&lt;lastName&gt;Dudgeon&lt;/lastName&gt;&lt;/author&gt;&lt;author&gt;&lt;firstName&gt;Angela&lt;/firstName&gt;&lt;middleNames&gt;H&lt;/middleNames&gt;&lt;lastName&gt;Arthrington&lt;/lastName&gt;&lt;/author&gt;&lt;author&gt;&lt;firstName&gt;Mark&lt;/firstName&gt;&lt;middleNames&gt;O&lt;/middleNames&gt;&lt;lastName&gt;Gessner&lt;/lastName&gt;&lt;/author&gt;&lt;author&gt;&lt;firstName&gt;Zen-Ichiro&lt;/firstName&gt;&lt;lastName&gt;Kawabata&lt;/lastName&gt;&lt;/author&gt;&lt;author&gt;&lt;firstName&gt;Duncan&lt;/firstName&gt;&lt;middleNames&gt;J&lt;/middleNames&gt;&lt;lastName&gt;Knowler&lt;/lastName&gt;&lt;/author&gt;&lt;author&gt;&lt;firstName&gt;Christian&lt;/firstName&gt;&lt;lastName&gt;Lévêque&lt;/lastName&gt;&lt;/author&gt;&lt;author&gt;&lt;firstName&gt;Robert&lt;/firstName&gt;&lt;middleNames&gt;J&lt;/middleNames&gt;&lt;lastName&gt;Naiman&lt;/lastName&gt;&lt;/author&gt;&lt;author&gt;&lt;firstName&gt;Anne-Hélène&lt;/firstName&gt;&lt;lastName&gt;Prieur-Richard&lt;/lastName&gt;&lt;/author&gt;&lt;author&gt;&lt;firstName&gt;Doris&lt;/firstName&gt;&lt;lastName&gt;Soto&lt;/lastName&gt;&lt;/author&gt;&lt;author&gt;&lt;firstName&gt;Melanie&lt;/firstName&gt;&lt;middleNames&gt;L J&lt;/middleNames&gt;&lt;lastName&gt;Stiassny&lt;/lastName&gt;&lt;/author&gt;&lt;author&gt;&lt;firstName&gt;Caroline&lt;/firstName&gt;&lt;middleNames&gt;A&lt;/middleNames&gt;&lt;lastName&gt;Sullivan&lt;/lastName&gt;&lt;/author&gt;&lt;/authors&gt;&lt;/publication&gt;&lt;publication&gt;&lt;uuid&gt;21DEC5CF-1738-4695-9D3A-5E7B966F413E&lt;/uuid&gt;&lt;volume&gt;467&lt;/volume&gt;&lt;doi&gt;10.1038/nature09440&lt;/doi&gt;&lt;startpage&gt;555&lt;/startpage&gt;&lt;publication_date&gt;99201009301200000000222000&lt;/publication_date&gt;&lt;url&gt;http://dx.doi.org/10.1038/nature09440&lt;/url&gt;&lt;citekey&gt;Vorosmarty:2010cy&lt;/citekey&gt;&lt;type&gt;400&lt;/type&gt;&lt;title&gt;Global threats to human water security and river biodiversity&lt;/title&gt;&lt;publisher&gt;Nature Publishing Group&lt;/publisher&gt;&lt;number&gt;7315&lt;/number&gt;&lt;subtype&gt;400&lt;/subtype&gt;&lt;endpage&gt;561&lt;/endpage&gt;&lt;bundle&gt;&lt;publication&gt;&lt;publisher&gt;Nature Publishing Group&lt;/publisher&gt;&lt;url&gt;http://www.nature.com/nature&lt;/url&gt;&lt;title&gt;Nature&lt;/title&gt;&lt;type&gt;-100&lt;/type&gt;&lt;subtype&gt;-100&lt;/subtype&gt;&lt;uuid&gt;3C9A82B5-8407-44BF-B036-75B1B0E2E315&lt;/uuid&gt;&lt;/publication&gt;&lt;/bundle&gt;&lt;authors&gt;&lt;author&gt;&lt;firstName&gt;C&lt;/firstName&gt;&lt;middleNames&gt;J&lt;/middleNames&gt;&lt;lastName&gt;Vörösmarty&lt;/lastName&gt;&lt;/author&gt;&lt;author&gt;&lt;firstName&gt;P&lt;/firstName&gt;&lt;middleNames&gt;B&lt;/middleNames&gt;&lt;lastName&gt;McIntyre&lt;/lastName&gt;&lt;/author&gt;&lt;author&gt;&lt;firstName&gt;M&lt;/firstName&gt;&lt;middleNames&gt;O&lt;/middleNames&gt;&lt;lastName&gt;Gessner&lt;/lastName&gt;&lt;/author&gt;&lt;author&gt;&lt;firstName&gt;D&lt;/firstName&gt;&lt;lastName&gt;Dudgeon&lt;/lastName&gt;&lt;/author&gt;&lt;author&gt;&lt;firstName&gt;A&lt;/firstName&gt;&lt;lastName&gt;Prusevich&lt;/lastName&gt;&lt;/author&gt;&lt;author&gt;&lt;firstName&gt;P&lt;/firstName&gt;&lt;lastName&gt;Green&lt;/lastName&gt;&lt;/author&gt;&lt;author&gt;&lt;firstName&gt;S&lt;/firstName&gt;&lt;lastName&gt;Glidden&lt;/lastName&gt;&lt;/author&gt;&lt;author&gt;&lt;firstName&gt;S&lt;/firstName&gt;&lt;middleNames&gt;E&lt;/middleNames&gt;&lt;lastName&gt;Bunn&lt;/lastName&gt;&lt;/author&gt;&lt;author&gt;&lt;firstName&gt;C&lt;/firstName&gt;&lt;middleNames&gt;A&lt;/middleNames&gt;&lt;lastName&gt;Sullivan&lt;/lastName&gt;&lt;/author&gt;&lt;author&gt;&lt;firstName&gt;C&lt;/firstName&gt;&lt;middleNames&gt;Reidy&lt;/middleNames&gt;&lt;lastName&gt;Liermann&lt;/lastName&gt;&lt;/author&gt;&lt;author&gt;&lt;firstName&gt;P&lt;/firstName&gt;&lt;middleNames&gt;M&lt;/middleNames&gt;&lt;lastName&gt;Davies&lt;/lastName&gt;&lt;/author&gt;&lt;/authors&gt;&lt;/publication&gt;&lt;/publications&gt;&lt;cites&gt;&lt;/cites&gt;&lt;/citation&gt;</w:instrText>
      </w:r>
      <w:r>
        <w:fldChar w:fldCharType="separate"/>
      </w:r>
      <w:r>
        <w:rPr>
          <w:rFonts w:eastAsia="SimSun"/>
          <w:szCs w:val="24"/>
          <w:lang w:val="de-DE"/>
        </w:rPr>
        <w:t>(Dudgeon et al., 2005; Vörösmarty et al., 2010)</w:t>
      </w:r>
      <w:r>
        <w:fldChar w:fldCharType="end"/>
      </w:r>
      <w:r>
        <w:t xml:space="preserve">. World-wide, ambitious water monitoring, management and restoration projects have been launched in the last decades for Environmental Impact Assessment (EIA) and to protect and restore freshwater ecosystems (EU Water Framework Directive, US Clean Water Act). </w:t>
      </w:r>
      <w:proofErr w:type="spellStart"/>
      <w:r>
        <w:t>Macroinvertebrates</w:t>
      </w:r>
      <w:proofErr w:type="spellEnd"/>
      <w:r>
        <w:t xml:space="preserve"> are often a key component to monitor stream health, as many are sensitive to stressors. It is however critical to determine these indicator taxa precisely, as they can show different stressor responses even on genus level </w:t>
      </w:r>
      <w:r>
        <w:fldChar w:fldCharType="begin"/>
      </w:r>
      <w:r>
        <w:instrText xml:space="preserve"> ADDIN PAPERS2_CITATIONS &lt;citation&gt;&lt;uuid&gt;39969D3A-2D40-47CB-A330-D18821CEA1A2&lt;/uuid&gt;&lt;priority&gt;0&lt;/priority&gt;&lt;publications&gt;&lt;publication&gt;&lt;publication_date&gt;99201511061200000000222000&lt;/publication_date&gt;&lt;startpage&gt;1&lt;/startpage&gt;&lt;doi&gt;10.1016/j.ecolind.2015.08.024&lt;/doi&gt;&lt;title&gt;Multiple-stressor effects on stream invertebrates: DNA barcoding reveals contrasting responses of cryptic mayfly species&lt;/title&gt;&lt;uuid&gt;B3B8E253-A44D-42A3-B544-988E5F42BCA4&lt;/uuid&gt;&lt;subtype&gt;400&lt;/subtype&gt;&lt;publisher&gt;Elsevier Ltd&lt;/publisher&gt;&lt;type&gt;400&lt;/type&gt;&lt;citekey&gt;Macher:2015eo&lt;/citekey&gt;&lt;endpage&gt;11&lt;/endpage&gt;&lt;url&gt;http://dx.doi.org/10.1016/j.ecolind.2015.08.024&lt;/url&gt;&lt;bundle&gt;&lt;publication&gt;&lt;publisher&gt;Elsevier Ltd&lt;/publisher&gt;&lt;title&gt;Ecological Indicators&lt;/title&gt;&lt;type&gt;-100&lt;/type&gt;&lt;subtype&gt;-100&lt;/subtype&gt;&lt;uuid&gt;EC1D384A-1C65-4C55-A3F3-0FEC43B62D96&lt;/uuid&gt;&lt;/publication&gt;&lt;/bundle&gt;&lt;authors&gt;&lt;author&gt;&lt;firstName&gt;Jan&lt;/firstName&gt;&lt;middleNames&gt;N&lt;/middleNames&gt;&lt;lastName&gt;Macher&lt;/lastName&gt;&lt;/author&gt;&lt;author&gt;&lt;firstName&gt;Romana&lt;/firstName&gt;&lt;middleNames&gt;K&lt;/middleNames&gt;&lt;lastName&gt;Salis&lt;/lastName&gt;&lt;/author&gt;&lt;author&gt;&lt;firstName&gt;Katie&lt;/firstName&gt;&lt;middleNames&gt;S&lt;/middleNames&gt;&lt;lastName&gt;Blakemore&lt;/lastName&gt;&lt;/author&gt;&lt;author&gt;&lt;firstName&gt;Ralph&lt;/firstName&gt;&lt;lastName&gt;Tollrian&lt;/lastName&gt;&lt;/author&gt;&lt;author&gt;&lt;firstName&gt;Christoph&lt;/firstName&gt;&lt;middleNames&gt;D&lt;/middleNames&gt;&lt;lastName&gt;Matthaei&lt;/lastName&gt;&lt;/author&gt;&lt;author&gt;&lt;firstName&gt;Florian&lt;/firstName&gt;&lt;lastName&gt;Leese&lt;/lastName&gt;&lt;/author&gt;&lt;/authors&gt;&lt;/publication&gt;&lt;/publications&gt;&lt;cites&gt;&lt;/cites&gt;&lt;/citation&gt;</w:instrText>
      </w:r>
      <w:r>
        <w:fldChar w:fldCharType="separate"/>
      </w:r>
      <w:r>
        <w:rPr>
          <w:rFonts w:eastAsia="SimSun"/>
          <w:szCs w:val="24"/>
          <w:lang w:val="de-DE"/>
        </w:rPr>
        <w:t>(Macher et al., 2015)</w:t>
      </w:r>
      <w:r>
        <w:fldChar w:fldCharType="end"/>
      </w:r>
      <w:r>
        <w:t xml:space="preserve">. However, accurate determination of freshwater invertebrates is often difficult on larval specimens, often leading to low taxonomic resolution and misidentification </w:t>
      </w:r>
      <w:r>
        <w:fldChar w:fldCharType="begin"/>
      </w:r>
      <w:r>
        <w:instrText xml:space="preserve"> ADDIN PAPERS2_CITATIONS &lt;citation&gt;&lt;uuid&gt;5755DAED-E834-4A46-AC2A-3FDF3A50735D&lt;/uuid&gt;&lt;priority&gt;0&lt;/priority&gt;&lt;publications&gt;&lt;publication&gt;&lt;uuid&gt;13AB9362-C1B9-4BD7-8E2C-10397F7C2A23&lt;/uuid&gt;&lt;volume&gt;30&lt;/volume&gt;&lt;doi&gt;10.1899/10-016.1&lt;/doi&gt;&lt;startpage&gt;195&lt;/startpage&gt;&lt;publication_date&gt;99201103001200000000220000&lt;/publication_date&gt;&lt;url&gt;http://www.bioone.org/doi/abs/10.1899/10-016.1&lt;/url&gt;&lt;citekey&gt;Sweeney:2011fy&lt;/citekey&gt;&lt;type&gt;400&lt;/type&gt;&lt;title&gt;Can DNA barcodes of stream macroinvertebrates improve descriptions of community structure and water quality?&lt;/title&gt;&lt;number&gt;1&lt;/number&gt;&lt;subtype&gt;400&lt;/subtype&gt;&lt;endpage&gt;216&lt;/endpage&gt;&lt;bundle&gt;&lt;publication&gt;&lt;title&gt;Journal of the North American Benthological Society&lt;/title&gt;&lt;type&gt;-100&lt;/type&gt;&lt;subtype&gt;-100&lt;/subtype&gt;&lt;uuid&gt;09023AF1-92EC-4C8F-BCAF-1B969696469D&lt;/uuid&gt;&lt;/publication&gt;&lt;/bundle&gt;&lt;authors&gt;&lt;author&gt;&lt;firstName&gt;Bernard&lt;/firstName&gt;&lt;middleNames&gt;W&lt;/middleNames&gt;&lt;lastName&gt;Sweeney&lt;/lastName&gt;&lt;/author&gt;&lt;author&gt;&lt;firstName&gt;Juliann&lt;/firstName&gt;&lt;middleNames&gt;M&lt;/middleNames&gt;&lt;lastName&gt;Battle&lt;/lastName&gt;&lt;/author&gt;&lt;author&gt;&lt;firstName&gt;John&lt;/firstName&gt;&lt;middleNames&gt;K&lt;/middleNames&gt;&lt;lastName&gt;Jackson&lt;/lastName&gt;&lt;/author&gt;&lt;author&gt;&lt;firstName&gt;Tanya&lt;/firstName&gt;&lt;lastName&gt;Dapkey&lt;/lastName&gt;&lt;/author&gt;&lt;/authors&gt;&lt;/publication&gt;&lt;publication&gt;&lt;uuid&gt;79D7D694-BAC3-4E44-930E-CC138BDFFB5C&lt;/uuid&gt;&lt;volume&gt;29&lt;/volume&gt;&lt;doi&gt;10.1899/09-183.1&lt;/doi&gt;&lt;startpage&gt;1279&lt;/startpage&gt;&lt;publication_date&gt;99201012001200000000220000&lt;/publication_date&gt;&lt;url&gt;http://www.bioone.org/doi/abs/10.1899/09-183.1&lt;/url&gt;&lt;citekey&gt;Haase:2010hy&lt;/citekey&gt;&lt;type&gt;400&lt;/type&gt;&lt;title&gt;First audit of macroinvertebrate samples from an EU Water Framework Directive monitoring program: human error greatly lowers precision of assessment results&lt;/title&gt;&lt;number&gt;4&lt;/number&gt;&lt;subtype&gt;400&lt;/subtype&gt;&lt;endpage&gt;1291&lt;/endpage&gt;&lt;bundle&gt;&lt;publication&gt;&lt;title&gt;Journal of the North American Benthological Society&lt;/title&gt;&lt;type&gt;-100&lt;/type&gt;&lt;subtype&gt;-100&lt;/subtype&gt;&lt;uuid&gt;09023AF1-92EC-4C8F-BCAF-1B969696469D&lt;/uuid&gt;&lt;/publication&gt;&lt;/bundle&gt;&lt;authors&gt;&lt;author&gt;&lt;firstName&gt;Peter&lt;/firstName&gt;&lt;lastName&gt;Haase&lt;/lastName&gt;&lt;/author&gt;&lt;author&gt;&lt;firstName&gt;Steffen&lt;/firstName&gt;&lt;middleNames&gt;U&lt;/middleNames&gt;&lt;lastName&gt;Pauls&lt;/lastName&gt;&lt;/author&gt;&lt;author&gt;&lt;firstName&gt;Karin&lt;/firstName&gt;&lt;lastName&gt;Schindehütte&lt;/lastName&gt;&lt;/author&gt;&lt;author&gt;&lt;firstName&gt;Andrea&lt;/firstName&gt;&lt;lastName&gt;Sundermann&lt;/lastName&gt;&lt;/author&gt;&lt;/authors&gt;&lt;/publication&gt;&lt;/publications&gt;&lt;cites&gt;&lt;/cites&gt;&lt;/citation&gt;</w:instrText>
      </w:r>
      <w:r>
        <w:fldChar w:fldCharType="separate"/>
      </w:r>
      <w:r>
        <w:rPr>
          <w:rFonts w:eastAsia="SimSun"/>
          <w:szCs w:val="24"/>
          <w:lang w:val="de-DE"/>
        </w:rPr>
        <w:t>(Haase et al., 2010; Sweeney et al., 2011)</w:t>
      </w:r>
      <w:r>
        <w:fldChar w:fldCharType="end"/>
      </w:r>
      <w:r>
        <w:t>. This of cause translates directly into a decreased accuracy of generated taxa lists, which might lead to false EIA</w:t>
      </w:r>
      <w:r w:rsidRPr="007A5FAB">
        <w:t xml:space="preserve"> </w:t>
      </w:r>
      <w:r>
        <w:t xml:space="preserve">and misguided management in the worst case </w:t>
      </w:r>
      <w:r>
        <w:fldChar w:fldCharType="begin"/>
      </w:r>
      <w:r>
        <w:instrText xml:space="preserve"> ADDIN PAPERS2_CITATIONS &lt;citation&gt;&lt;uuid&gt;5903BA24-63AB-40F5-9509-5F4EB2B61385&lt;/uuid&gt;&lt;priority&gt;0&lt;/priority&gt;&lt;publications&gt;&lt;publication&gt;&lt;volume&gt;9&lt;/volume&gt;&lt;publication_date&gt;99201404221200000000222000&lt;/publication_date&gt;&lt;number&gt;4&lt;/number&gt;&lt;doi&gt;10.1371/journal.pone.0095525.t005&lt;/doi&gt;&lt;startpage&gt;e95525&lt;/startpage&gt;&lt;title&gt;Is DNA Barcoding Actually Cheaper and Faster than Traditional Morphological Methods: Results from a Survey of Freshwater Bioassessment Efforts in the United States?&lt;/title&gt;&lt;uuid&gt;DF7C3320-F63A-4836-BDCA-A73B6EE9FAC2&lt;/uuid&gt;&lt;subtype&gt;400&lt;/subtype&gt;&lt;type&gt;400&lt;/type&gt;&lt;citekey&gt;Stein:2014go&lt;/citekey&gt;&lt;url&gt;http://dx.plos.org/10.1371/journal.pone.0095525.t005&lt;/url&gt;&lt;bundle&gt;&lt;publication&gt;&lt;url&gt;http://www.plosone.org/&lt;/url&gt;&lt;title&gt;PloS one&lt;/title&gt;&lt;type&gt;-100&lt;/type&gt;&lt;subtype&gt;-100&lt;/subtype&gt;&lt;uuid&gt;1D6F4235-EFEF-4B84-B06B-A3B239622C6C&lt;/uuid&gt;&lt;/publication&gt;&lt;/bundle&gt;&lt;authors&gt;&lt;author&gt;&lt;firstName&gt;Eric&lt;/firstName&gt;&lt;middleNames&gt;D&lt;/middleNames&gt;&lt;lastName&gt;Stein&lt;/lastName&gt;&lt;/author&gt;&lt;author&gt;&lt;firstName&gt;Maria&lt;/firstName&gt;&lt;middleNames&gt;C&lt;/middleNames&gt;&lt;lastName&gt;Martinez&lt;/lastName&gt;&lt;/author&gt;&lt;author&gt;&lt;firstName&gt;Sara&lt;/firstName&gt;&lt;lastName&gt;Stiles&lt;/lastName&gt;&lt;/author&gt;&lt;author&gt;&lt;firstName&gt;Peter&lt;/firstName&gt;&lt;middleNames&gt;E&lt;/middleNames&gt;&lt;lastName&gt;Miller&lt;/lastName&gt;&lt;/author&gt;&lt;author&gt;&lt;firstName&gt;Evgeny&lt;/firstName&gt;&lt;middleNames&gt;V&lt;/middleNames&gt;&lt;lastName&gt;Zakharov&lt;/lastName&gt;&lt;/author&gt;&lt;/authors&gt;&lt;editors&gt;&lt;author&gt;&lt;firstName&gt;Maurizio&lt;/firstName&gt;&lt;lastName&gt;Casiraghi&lt;/lastName&gt;&lt;/author&gt;&lt;/editors&gt;&lt;/publication&gt;&lt;/publications&gt;&lt;cites&gt;&lt;/cites&gt;&lt;/citation&gt;</w:instrText>
      </w:r>
      <w:r>
        <w:fldChar w:fldCharType="separate"/>
      </w:r>
      <w:r>
        <w:rPr>
          <w:rFonts w:eastAsia="SimSun"/>
          <w:szCs w:val="24"/>
          <w:lang w:val="de-DE"/>
        </w:rPr>
        <w:t>(Stein et al., 2014)</w:t>
      </w:r>
      <w:r>
        <w:fldChar w:fldCharType="end"/>
      </w:r>
      <w:r>
        <w:t xml:space="preserve">. Additionally, identification accuracy is affected by taxonomist experience, limiting the comparability of assessments </w:t>
      </w:r>
      <w:r>
        <w:fldChar w:fldCharType="begin"/>
      </w:r>
      <w:r>
        <w:instrText xml:space="preserve"> ADDIN PAPERS2_CITATIONS &lt;citation&gt;&lt;uuid&gt;946E9E49-1944-4007-BA57-7FB6F4B34B0E&lt;/uuid&gt;&lt;priority&gt;0&lt;/priority&gt;&lt;publications&gt;&lt;publication&gt;&lt;uuid&gt;79D7D694-BAC3-4E44-930E-CC138BDFFB5C&lt;/uuid&gt;&lt;volume&gt;29&lt;/volume&gt;&lt;doi&gt;10.1899/09-183.1&lt;/doi&gt;&lt;startpage&gt;1279&lt;/startpage&gt;&lt;publication_date&gt;99201012001200000000220000&lt;/publication_date&gt;&lt;url&gt;http://www.bioone.org/doi/abs/10.1899/09-183.1&lt;/url&gt;&lt;citekey&gt;Haase:2010hy&lt;/citekey&gt;&lt;type&gt;400&lt;/type&gt;&lt;title&gt;First audit of macroinvertebrate samples from an EU Water Framework Directive monitoring program: human error greatly lowers precision of assessment results&lt;/title&gt;&lt;number&gt;4&lt;/number&gt;&lt;subtype&gt;400&lt;/subtype&gt;&lt;endpage&gt;1291&lt;/endpage&gt;&lt;bundle&gt;&lt;publication&gt;&lt;title&gt;Journal of the North American Benthological Society&lt;/title&gt;&lt;type&gt;-100&lt;/type&gt;&lt;subtype&gt;-100&lt;/subtype&gt;&lt;uuid&gt;09023AF1-92EC-4C8F-BCAF-1B969696469D&lt;/uuid&gt;&lt;/publication&gt;&lt;/bundle&gt;&lt;authors&gt;&lt;author&gt;&lt;firstName&gt;Peter&lt;/firstName&gt;&lt;lastName&gt;Haase&lt;/lastName&gt;&lt;/author&gt;&lt;author&gt;&lt;firstName&gt;Steffen&lt;/firstName&gt;&lt;middleNames&gt;U&lt;/middleNames&gt;&lt;lastName&gt;Pauls&lt;/lastName&gt;&lt;/author&gt;&lt;author&gt;&lt;firstName&gt;Karin&lt;/firstName&gt;&lt;lastName&gt;Schindehütte&lt;/lastName&gt;&lt;/author&gt;&lt;author&gt;&lt;firstName&gt;Andrea&lt;/firstName&gt;&lt;lastName&gt;Sundermann&lt;/lastName&gt;&lt;/author&gt;&lt;/authors&gt;&lt;/publication&gt;&lt;/publications&gt;&lt;cites&gt;&lt;/cites&gt;&lt;/citation&gt;</w:instrText>
      </w:r>
      <w:r>
        <w:fldChar w:fldCharType="separate"/>
      </w:r>
      <w:r>
        <w:rPr>
          <w:rFonts w:eastAsia="SimSun"/>
          <w:szCs w:val="24"/>
          <w:lang w:val="de-DE"/>
        </w:rPr>
        <w:t>(Haase et al., 2010)</w:t>
      </w:r>
      <w:r>
        <w:fldChar w:fldCharType="end"/>
      </w:r>
      <w:r>
        <w:t>. With the decline of taxonomic expertise and much of the world’s diversity not even being properly described, morphology based monitoring cannot keep pace with current challenges of sustainable water management.</w:t>
      </w:r>
    </w:p>
    <w:p w14:paraId="240EA0AC" w14:textId="77777777" w:rsidR="00DB41E2" w:rsidRDefault="00DB41E2" w:rsidP="00DB41E2">
      <w:pPr>
        <w:pStyle w:val="KeinLeerraum"/>
      </w:pPr>
    </w:p>
    <w:p w14:paraId="6036A5F2" w14:textId="77777777" w:rsidR="00DB41E2" w:rsidRDefault="00DB41E2" w:rsidP="00DB41E2">
      <w:pPr>
        <w:pStyle w:val="KeinLeerraum"/>
      </w:pPr>
      <w:r>
        <w:t xml:space="preserve">A promising alternative to morphological identification is DNA based determination of </w:t>
      </w:r>
      <w:proofErr w:type="spellStart"/>
      <w:r>
        <w:t>macrozoobenthic</w:t>
      </w:r>
      <w:proofErr w:type="spellEnd"/>
      <w:r>
        <w:t xml:space="preserve"> invertebrates, which has been demonstrated in multiple case studies </w:t>
      </w:r>
      <w:r>
        <w:fldChar w:fldCharType="begin"/>
      </w:r>
      <w:r>
        <w:instrText xml:space="preserve"> ADDIN PAPERS2_CITATIONS &lt;citation&gt;&lt;uuid&gt;CD9BE313-F806-4DC0-8F31-4A1A9A4A6F43&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publication_date&gt;99201100001200000000200000&lt;/publication_date&gt;&lt;title&gt;Environmental Barcoding: A Next-Generation Sequencing Approach for Biomonitoring Applications Using River Benthos&lt;/title&gt;&lt;uuid&gt;8840EA6D-7138-47EA-886B-13FA6B26EBD4&lt;/uuid&gt;&lt;subtype&gt;400&lt;/subtype&gt;&lt;type&gt;400&lt;/type&gt;&lt;citekey&gt;Hajibabaei:2011ug&lt;/citekey&gt;&lt;url&gt;http://dx.plos.org/10.1371/journal.pone.0017497&lt;/url&gt;&lt;bundle&gt;&lt;publication&gt;&lt;url&gt;http://www.plosone.org/&lt;/url&gt;&lt;title&gt;PloS one&lt;/title&gt;&lt;type&gt;-100&lt;/type&gt;&lt;subtype&gt;-100&lt;/subtype&gt;&lt;uuid&gt;1D6F4235-EFEF-4B84-B06B-A3B239622C6C&lt;/uuid&gt;&lt;/publication&gt;&lt;/bundle&gt;&lt;authors&gt;&lt;author&gt;&lt;firstName&gt;Mehrdad&lt;/firstName&gt;&lt;lastName&gt;Hajibabaei&lt;/lastName&gt;&lt;/author&gt;&lt;author&gt;&lt;firstName&gt;S&lt;/firstName&gt;&lt;lastName&gt;Shokralla&lt;/lastName&gt;&lt;/author&gt;&lt;author&gt;&lt;firstName&gt;X&lt;/firstName&gt;&lt;lastName&gt;Zhou&lt;/lastName&gt;&lt;/author&gt;&lt;author&gt;&lt;firstName&gt;GAC&lt;/firstName&gt;&lt;lastName&gt;Singer&lt;/lastName&gt;&lt;/author&gt;&lt;author&gt;&lt;firstName&gt;D&lt;/firstName&gt;&lt;middleNames&gt;J&lt;/middleNames&gt;&lt;lastName&gt;Baird&lt;/lastName&gt;&lt;/author&gt;&lt;/authors&gt;&lt;/publication&gt;&lt;publication&gt;&lt;uuid&gt;E25DBD6F-B166-4B82-9422-AD052F1E56FC&lt;/uuid&gt;&lt;volume&gt;10&lt;/volume&gt;&lt;doi&gt;10.1186/1742-9994-10-45&lt;/doi&gt;&lt;startpage&gt;1&lt;/startpage&gt;&lt;publication_date&gt;99201308071200000000222000&lt;/publication_date&gt;&lt;url&gt;Frontiers in Zoology&lt;/url&gt;&lt;citekey&gt;Carew:2013iz&lt;/citekey&gt;&lt;type&gt;400&lt;/type&gt;&lt;title&gt;Environmental monitoring using next generation sequencing: rapid identification of macroinvertebrate bioindicator species&lt;/title&gt;&lt;publisher&gt;Frontiers in Zoology&lt;/publisher&gt;&lt;number&gt;1&lt;/number&gt;&lt;subtype&gt;400&lt;/subtype&gt;&lt;endpage&gt;1&lt;/endpage&gt;&lt;bundle&gt;&lt;publication&gt;&lt;publisher&gt;BioMed Central Ltd&lt;/publisher&gt;&lt;title&gt;Frontiers in zoology&lt;/title&gt;&lt;type&gt;-100&lt;/type&gt;&lt;subtype&gt;-100&lt;/subtype&gt;&lt;uuid&gt;45F0FBE0-ECB3-4617-A145-F7A7F3F920FF&lt;/uuid&gt;&lt;/publication&gt;&lt;/bundle&gt;&lt;authors&gt;&lt;author&gt;&lt;firstName&gt;Melissa&lt;/firstName&gt;&lt;middleNames&gt;E&lt;/middleNames&gt;&lt;lastName&gt;Carew&lt;/lastName&gt;&lt;/author&gt;&lt;author&gt;&lt;firstName&gt;Vincent&lt;/firstName&gt;&lt;middleNames&gt;J&lt;/middleNames&gt;&lt;lastName&gt;Pettigrove&lt;/lastName&gt;&lt;/author&gt;&lt;author&gt;&lt;firstName&gt;Leon&lt;/firstName&gt;&lt;lastName&gt;Metzeling&lt;/lastName&gt;&lt;/author&gt;&lt;author&gt;&lt;firstName&gt;Ary&lt;/firstName&gt;&lt;middleNames&gt;A&lt;/middleNames&gt;&lt;lastName&gt;Hoffmann&lt;/lastName&gt;&lt;/author&gt;&lt;/authors&gt;&lt;/publication&gt;&lt;publication&gt;&lt;uuid&gt;2F0D9A85-A308-439F-B300-25D81646A2BD&lt;/uuid&gt;&lt;volume&gt;33&lt;/volume&gt;&lt;doi&gt;10.1086/674782&lt;/doi&gt;&lt;startpage&gt;302&lt;/startpage&gt;&lt;publication_date&gt;99201300001200000000200000&lt;/publication_date&gt;&lt;url&gt;http://www.jstor.org/stable/info/10.1086/674782&lt;/url&gt;&lt;citekey&gt;Stein:2013in&lt;/citekey&gt;&lt;type&gt;400&lt;/type&gt;&lt;title&gt;Does DNA barcoding improve performance of traditional stream bioassessment metrics?&lt;/title&gt;&lt;number&gt;1&lt;/number&gt;&lt;subtype&gt;400&lt;/subtype&gt;&lt;endpage&gt;311&lt;/endpage&gt;&lt;bundle&gt;&lt;publication&gt;&lt;title&gt;Freshwater Science&lt;/title&gt;&lt;type&gt;-100&lt;/type&gt;&lt;subtype&gt;-100&lt;/subtype&gt;&lt;uuid&gt;94E56F08-4DF0-48BA-BCD4-D82C5A1DA267&lt;/uuid&gt;&lt;/publication&gt;&lt;/bundle&gt;&lt;authors&gt;&lt;author&gt;&lt;firstName&gt;E&lt;/firstName&gt;&lt;middleNames&gt;D&lt;/middleNames&gt;&lt;lastName&gt;Stein&lt;/lastName&gt;&lt;/author&gt;&lt;author&gt;&lt;firstName&gt;B&lt;/firstName&gt;&lt;middleNames&gt;P&lt;/middleNames&gt;&lt;lastName&gt;White&lt;/lastName&gt;&lt;/author&gt;&lt;author&gt;&lt;firstName&gt;R&lt;/firstName&gt;&lt;middleNames&gt;D&lt;/middleNames&gt;&lt;lastName&gt;Mazor&lt;/lastName&gt;&lt;/author&gt;&lt;author&gt;&lt;firstName&gt;J&lt;/firstName&gt;&lt;middleNames&gt;K&lt;/middleNames&gt;&lt;lastName&gt;Jackson&lt;/lastName&gt;&lt;/author&gt;&lt;author&gt;&lt;firstName&gt;J&lt;/firstName&gt;&lt;middleNames&gt;M&lt;/middleNames&gt;&lt;lastName&gt;Battle&lt;/lastName&gt;&lt;/author&gt;&lt;/authors&gt;&lt;/publication&gt;&lt;publication&gt;&lt;uuid&gt;13AB9362-C1B9-4BD7-8E2C-10397F7C2A23&lt;/uuid&gt;&lt;volume&gt;30&lt;/volume&gt;&lt;doi&gt;10.1899/10-016.1&lt;/doi&gt;&lt;startpage&gt;195&lt;/startpage&gt;&lt;publication_date&gt;99201103001200000000220000&lt;/publication_date&gt;&lt;url&gt;http://www.bioone.org/doi/abs/10.1899/10-016.1&lt;/url&gt;&lt;citekey&gt;Sweeney:2011fy&lt;/citekey&gt;&lt;type&gt;400&lt;/type&gt;&lt;title&gt;Can DNA barcodes of stream macroinvertebrates improve descriptions of community structure and water quality?&lt;/title&gt;&lt;number&gt;1&lt;/number&gt;&lt;subtype&gt;400&lt;/subtype&gt;&lt;endpage&gt;216&lt;/endpage&gt;&lt;bundle&gt;&lt;publication&gt;&lt;title&gt;Journal of the North American Benthological Society&lt;/title&gt;&lt;type&gt;-100&lt;/type&gt;&lt;subtype&gt;-100&lt;/subtype&gt;&lt;uuid&gt;09023AF1-92EC-4C8F-BCAF-1B969696469D&lt;/uuid&gt;&lt;/publication&gt;&lt;/bundle&gt;&lt;authors&gt;&lt;author&gt;&lt;firstName&gt;Bernard&lt;/firstName&gt;&lt;middleNames&gt;W&lt;/middleNames&gt;&lt;lastName&gt;Sweeney&lt;/lastName&gt;&lt;/author&gt;&lt;author&gt;&lt;firstName&gt;Juliann&lt;/firstName&gt;&lt;middleNames&gt;M&lt;/middleNames&gt;&lt;lastName&gt;Battle&lt;/lastName&gt;&lt;/author&gt;&lt;author&gt;&lt;firstName&gt;John&lt;/firstName&gt;&lt;middleNames&gt;K&lt;/middleNames&gt;&lt;lastName&gt;Jackson&lt;/lastName&gt;&lt;/author&gt;&lt;author&gt;&lt;firstName&gt;Tanya&lt;/firstName&gt;&lt;lastName&gt;Dapkey&lt;/lastName&gt;&lt;/author&gt;&lt;/authors&gt;&lt;/publication&gt;&lt;/publications&gt;&lt;cites&gt;&lt;/cites&gt;&lt;/citation&gt;</w:instrText>
      </w:r>
      <w:r>
        <w:fldChar w:fldCharType="separate"/>
      </w:r>
      <w:r>
        <w:rPr>
          <w:rFonts w:eastAsia="SimSun"/>
          <w:szCs w:val="24"/>
          <w:lang w:val="de-DE"/>
        </w:rPr>
        <w:t>(Carew et al., 2013; Elbrecht and Leese, 2015; Hajibabaei et al., 2011; Stein et al., 2013; Sweeney et al., 2011)</w:t>
      </w:r>
      <w:r>
        <w:fldChar w:fldCharType="end"/>
      </w:r>
      <w:r>
        <w:t xml:space="preserve">. A short fragment of a </w:t>
      </w:r>
      <w:proofErr w:type="spellStart"/>
      <w:r>
        <w:t>standardised</w:t>
      </w:r>
      <w:proofErr w:type="spellEnd"/>
      <w:r>
        <w:t xml:space="preserve"> genetic marker of adult insect taxa (which can often be determined reliably to species level) </w:t>
      </w:r>
      <w:r>
        <w:rPr>
          <w:bCs/>
        </w:rPr>
        <w:t xml:space="preserve">can be amplified, sequenced and stored in a reference database. The same reference database can then </w:t>
      </w:r>
      <w:proofErr w:type="spellStart"/>
      <w:r>
        <w:rPr>
          <w:bCs/>
        </w:rPr>
        <w:t>utilised</w:t>
      </w:r>
      <w:proofErr w:type="spellEnd"/>
      <w:r>
        <w:rPr>
          <w:bCs/>
        </w:rPr>
        <w:t xml:space="preserve"> for the identification of larval specimens.</w:t>
      </w:r>
      <w:r>
        <w:t xml:space="preserve"> The c</w:t>
      </w:r>
      <w:r w:rsidRPr="006861C7">
        <w:t xml:space="preserve">ytochrome c oxidase I </w:t>
      </w:r>
      <w:r>
        <w:t>(</w:t>
      </w:r>
      <w:r>
        <w:rPr>
          <w:bCs/>
        </w:rPr>
        <w:t xml:space="preserve">COI) gene is typically used for this DNA barcoding technique and extensive reference sequences is already available in online databases </w:t>
      </w:r>
      <w:r>
        <w:rPr>
          <w:bCs/>
        </w:rPr>
        <w:fldChar w:fldCharType="begin"/>
      </w:r>
      <w:r>
        <w:rPr>
          <w:bCs/>
        </w:rPr>
        <w:instrText xml:space="preserve"> ADDIN PAPERS2_CITATIONS &lt;citation&gt;&lt;uuid&gt;5C456863-3D19-4350-90F5-83AAE03A42B6&lt;/uuid&gt;&lt;priority&gt;0&lt;/priority&gt;&lt;publications&gt;&lt;publication&gt;&lt;volume&gt;7&lt;/volume&gt;&lt;publication_date&gt;99200700001200000000200000&lt;/publication_date&gt;&lt;doi&gt;10.1111/j.1471-8286.2006.01678.x&lt;/doi&gt;&lt;startpage&gt;355&lt;/startpage&gt;&lt;title&gt;BOLD: The Barcode of Life Data System (http://www. barcodinglife. org)&lt;/title&gt;&lt;uuid&gt;3B9D98B1-544B-4174-AEE8-4486B1907A87&lt;/uuid&gt;&lt;subtype&gt;400&lt;/subtype&gt;&lt;endpage&gt;364&lt;/endpage&gt;&lt;type&gt;400&lt;/type&gt;&lt;citekey&gt;Ratnasingham:2012fc&lt;/citekey&gt;&lt;url&gt;http://onlinelibrary.wiley.com/doi/10.1111/j.1471-8286.2007.01678.x/full&lt;/url&gt;&lt;bundle&gt;&lt;publication&gt;&lt;title&gt;Molecular Ecology Notes&lt;/title&gt;&lt;type&gt;-100&lt;/type&gt;&lt;subtype&gt;-100&lt;/subtype&gt;&lt;uuid&gt;DE337F0B-DC0F-4948-BF45-213E005057A1&lt;/uuid&gt;&lt;/publication&gt;&lt;/bundle&gt;&lt;authors&gt;&lt;author&gt;&lt;firstName&gt;S&lt;/firstName&gt;&lt;lastName&gt;Ratnasingham&lt;/lastName&gt;&lt;/author&gt;&lt;author&gt;&lt;firstName&gt;PDN&lt;/firstName&gt;&lt;lastName&gt;Hebert&lt;/lastName&gt;&lt;/author&gt;&lt;/authors&gt;&lt;/publication&gt;&lt;publication&gt;&lt;uuid&gt;DC435C1E-9AE2-42A8-BE11-96E40CD4A237&lt;/uuid&gt;&lt;volume&gt;8&lt;/volume&gt;&lt;doi&gt;10.1371/journal.pone.0066213&lt;/doi&gt;&lt;startpage&gt;e66213&lt;/startpage&gt;&lt;publication_date&gt;99201307081200000000222000&lt;/publication_date&gt;&lt;url&gt;http://dx.plos.org/10.1371/journal.pone.0066213&lt;/url&gt;&lt;citekey&gt;Ratnasingham:2013gq&lt;/citekey&gt;&lt;type&gt;400&lt;/type&gt;&lt;title&gt;A DNA-Based Registry for All Animal Species: The Barcode Index Number (BIN) System&lt;/title&gt;&lt;publisher&gt;Public Library of Science&lt;/publisher&gt;&lt;number&gt;7&lt;/number&gt;&lt;subtype&gt;400&lt;/subtype&gt;&lt;endpage&gt;16&lt;/endpage&gt;&lt;bundle&gt;&lt;publication&gt;&lt;url&gt;http://www.plosone.org/&lt;/url&gt;&lt;title&gt;PloS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Sujeevan&lt;/firstName&gt;&lt;lastName&gt;Ratnasingham&lt;/lastName&gt;&lt;/author&gt;&lt;author&gt;&lt;firstName&gt;Paul&lt;/firstName&gt;&lt;middleNames&gt;D N&lt;/middleNames&gt;&lt;lastName&gt;Hebert&lt;/lastName&gt;&lt;/author&gt;&lt;/authors&gt;&lt;editors&gt;&lt;author&gt;&lt;firstName&gt;Diego&lt;/firstName&gt;&lt;lastName&gt;Fontaneto&lt;/lastName&gt;&lt;/author&gt;&lt;/editors&gt;&lt;/publication&gt;&lt;/publications&gt;&lt;cites&gt;&lt;/cites&gt;&lt;/citation&gt;</w:instrText>
      </w:r>
      <w:r>
        <w:rPr>
          <w:bCs/>
        </w:rPr>
        <w:fldChar w:fldCharType="separate"/>
      </w:r>
      <w:r>
        <w:rPr>
          <w:rFonts w:eastAsia="SimSun"/>
          <w:szCs w:val="24"/>
          <w:lang w:val="de-DE"/>
        </w:rPr>
        <w:t>(Ratnasingham and Hebert, 2007; 2013)</w:t>
      </w:r>
      <w:r>
        <w:rPr>
          <w:bCs/>
        </w:rPr>
        <w:fldChar w:fldCharType="end"/>
      </w:r>
      <w:r>
        <w:rPr>
          <w:bCs/>
        </w:rPr>
        <w:t>.</w:t>
      </w:r>
      <w:r>
        <w:t xml:space="preserve"> </w:t>
      </w:r>
      <w:r w:rsidRPr="006861C7">
        <w:t xml:space="preserve">However, identifying single specimens using DNA barcoding is still quite expensive because </w:t>
      </w:r>
      <w:r>
        <w:t xml:space="preserve">each individual has to be processed and sequenced individually </w:t>
      </w:r>
      <w:r w:rsidRPr="006861C7">
        <w:fldChar w:fldCharType="begin"/>
      </w:r>
      <w:r>
        <w:instrText xml:space="preserve"> ADDIN PAPERS2_CITATIONS &lt;citation&gt;&lt;uuid&gt;A0C7081B-3B4B-4B9C-87A4-F885F18ECC19&lt;/uuid&gt;&lt;priority&gt;0&lt;/priority&gt;&lt;publications&gt;&lt;publication&gt;&lt;volume&gt;55&lt;/volume&gt;&lt;publication_date&gt;99200610011200000000222000&lt;/publication_date&gt;&lt;number&gt;5&lt;/number&gt;&lt;doi&gt;10.1080/10635150600960079&lt;/doi&gt;&lt;startpage&gt;844&lt;/startpage&gt;&lt;title&gt;Who Will Actually Use DNA Barcoding and What Will It Cost?&lt;/title&gt;&lt;uuid&gt;A3FDC1A9-A30D-42CE-9D97-27E2DDBCF9B1&lt;/uuid&gt;&lt;subtype&gt;400&lt;/subtype&gt;&lt;endpage&gt;847&lt;/endpage&gt;&lt;type&gt;400&lt;/type&gt;&lt;url&gt;http://sysbio.oxfordjournals.org/cgi/doi/10.1080/10635150600960079&lt;/url&gt;&lt;bundle&gt;&lt;publication&gt;&lt;title&gt;Systematic Biology&lt;/title&gt;&lt;type&gt;-100&lt;/type&gt;&lt;subtype&gt;-100&lt;/subtype&gt;&lt;uuid&gt;D9FC2BDE-713F-45F1-8458-97433A87C672&lt;/uuid&gt;&lt;/publication&gt;&lt;/bundle&gt;&lt;authors&gt;&lt;author&gt;&lt;firstName&gt;Stephen&lt;/firstName&gt;&lt;lastName&gt;Cameron&lt;/lastName&gt;&lt;/author&gt;&lt;author&gt;&lt;firstName&gt;Daniel&lt;/firstName&gt;&lt;lastName&gt;Rubinoff&lt;/lastName&gt;&lt;/author&gt;&lt;author&gt;&lt;firstName&gt;Kipling&lt;/firstName&gt;&lt;lastName&gt;Will&lt;/lastName&gt;&lt;/author&gt;&lt;/authors&gt;&lt;/publication&gt;&lt;publication&gt;&lt;volume&gt;9&lt;/volume&gt;&lt;publication_date&gt;99201404221200000000222000&lt;/publication_date&gt;&lt;number&gt;4&lt;/number&gt;&lt;doi&gt;10.1371/journal.pone.0095525.t005&lt;/doi&gt;&lt;startpage&gt;e95525&lt;/startpage&gt;&lt;title&gt;Is DNA Barcoding Actually Cheaper and Faster than Traditional Morphological Methods: Results from a Survey of Freshwater Bioassessment Efforts in the United States?&lt;/title&gt;&lt;uuid&gt;DF7C3320-F63A-4836-BDCA-A73B6EE9FAC2&lt;/uuid&gt;&lt;subtype&gt;400&lt;/subtype&gt;&lt;type&gt;400&lt;/type&gt;&lt;citekey&gt;Stein:2014go&lt;/citekey&gt;&lt;url&gt;http://dx.plos.org/10.1371/journal.pone.0095525.t005&lt;/url&gt;&lt;bundle&gt;&lt;publication&gt;&lt;url&gt;http://www.plosone.org/&lt;/url&gt;&lt;title&gt;PloS one&lt;/title&gt;&lt;type&gt;-100&lt;/type&gt;&lt;subtype&gt;-100&lt;/subtype&gt;&lt;uuid&gt;1D6F4235-EFEF-4B84-B06B-A3B239622C6C&lt;/uuid&gt;&lt;/publication&gt;&lt;/bundle&gt;&lt;authors&gt;&lt;author&gt;&lt;firstName&gt;Eric&lt;/firstName&gt;&lt;middleNames&gt;D&lt;/middleNames&gt;&lt;lastName&gt;Stein&lt;/lastName&gt;&lt;/author&gt;&lt;author&gt;&lt;firstName&gt;Maria&lt;/firstName&gt;&lt;middleNames&gt;C&lt;/middleNames&gt;&lt;lastName&gt;Martinez&lt;/lastName&gt;&lt;/author&gt;&lt;author&gt;&lt;firstName&gt;Sara&lt;/firstName&gt;&lt;lastName&gt;Stiles&lt;/lastName&gt;&lt;/author&gt;&lt;author&gt;&lt;firstName&gt;Peter&lt;/firstName&gt;&lt;middleNames&gt;E&lt;/middleNames&gt;&lt;lastName&gt;Miller&lt;/lastName&gt;&lt;/author&gt;&lt;author&gt;&lt;firstName&gt;Evgeny&lt;/firstName&gt;&lt;middleNames&gt;V&lt;/middleNames&gt;&lt;lastName&gt;Zakharov&lt;/lastName&gt;&lt;/author&gt;&lt;/authors&gt;&lt;editors&gt;&lt;author&gt;&lt;firstName&gt;Maurizio&lt;/firstName&gt;&lt;lastName&gt;Casiraghi&lt;/lastName&gt;&lt;/author&gt;&lt;/editors&gt;&lt;/publication&gt;&lt;/publications&gt;&lt;cites&gt;&lt;/cites&gt;&lt;/citation&gt;</w:instrText>
      </w:r>
      <w:r w:rsidRPr="006861C7">
        <w:fldChar w:fldCharType="separate"/>
      </w:r>
      <w:r>
        <w:rPr>
          <w:rFonts w:eastAsia="SimSun"/>
          <w:szCs w:val="24"/>
          <w:lang w:val="de-DE"/>
        </w:rPr>
        <w:t>(Cameron et al., 2006; Stein et al., 2014)</w:t>
      </w:r>
      <w:r w:rsidRPr="006861C7">
        <w:fldChar w:fldCharType="end"/>
      </w:r>
      <w:r w:rsidRPr="006861C7">
        <w:t xml:space="preserve">. Recent advances in high throughput sequencing (HTS) made it possible to extract DNA and sequence the barcoding region from complete bulk samples often containing hundreds to thousands of specimens. This technique, coined DNA </w:t>
      </w:r>
      <w:proofErr w:type="spellStart"/>
      <w:r w:rsidRPr="006861C7">
        <w:t>metabarcoding</w:t>
      </w:r>
      <w:proofErr w:type="spellEnd"/>
      <w:r w:rsidRPr="006861C7">
        <w:t xml:space="preserve">, has been already widely used to generate comprehensive taxa lists for many ecosystems and environments </w:t>
      </w:r>
      <w:r w:rsidRPr="006861C7">
        <w:fldChar w:fldCharType="begin"/>
      </w:r>
      <w:r>
        <w:instrText xml:space="preserve"> ADDIN PAPERS2_CITATIONS &lt;citation&gt;&lt;uuid&gt;AA97A97D-FC6E-4F66-99EC-AA34A0D3A7F2&lt;/uuid&gt;&lt;priority&gt;0&lt;/priority&gt;&lt;publications&gt;&lt;publication&gt;&lt;uuid&gt;AA7CF948-E18F-462D-AFDA-F539F09C8DCF&lt;/uuid&gt;&lt;volume&gt;21&lt;/volume&gt;&lt;doi&gt;10.1111/j.1365-294X.2012.05542.x&lt;/doi&gt;&lt;subtitle&gt;ENVIRONMENTAL DNA&lt;/subtitle&gt;&lt;startpage&gt;1789&lt;/startpage&gt;&lt;publication_date&gt;99201204001200000000220000&lt;/publication_date&gt;&lt;url&gt;http://doi.wiley.com/10.1111/j.1365-294X.2012.05542.x&lt;/url&gt;&lt;citekey&gt;Taberlet:2012cz&lt;/citekey&gt;&lt;type&gt;400&lt;/type&gt;&lt;title&gt;Environmental DNA.&lt;/title&gt;&lt;publisher&gt;Blackwell Publishing Ltd&lt;/publisher&gt;&lt;number&gt;8&lt;/number&gt;&lt;subtype&gt;400&lt;/subtype&gt;&lt;endpage&gt;1793&lt;/endpage&gt;&lt;bundle&gt;&lt;publication&gt;&lt;title&gt;Molecular Ecology&lt;/title&gt;&lt;type&gt;-100&lt;/type&gt;&lt;subtype&gt;-100&lt;/subtype&gt;&lt;uuid&gt;E10C134E-637B-4769-B24B-030C10D8451F&lt;/uuid&gt;&lt;/publication&gt;&lt;/bundle&gt;&lt;authors&gt;&lt;author&gt;&lt;firstName&gt;Pierre&lt;/firstName&gt;&lt;lastName&gt;Taberlet&lt;/lastName&gt;&lt;/author&gt;&lt;author&gt;&lt;firstName&gt;Eric&lt;/firstName&gt;&lt;lastName&gt;Coissac&lt;/lastName&gt;&lt;/author&gt;&lt;author&gt;&lt;firstName&gt;Mehrdad&lt;/firstName&gt;&lt;lastName&gt;Hajibabaei&lt;/lastName&gt;&lt;/author&gt;&lt;author&gt;&lt;firstName&gt;Loren&lt;/firstName&gt;&lt;middleNames&gt;H&lt;/middleNames&gt;&lt;lastName&gt;Rieseberg&lt;/lastName&gt;&lt;/author&gt;&lt;/authors&gt;&lt;/publication&gt;&lt;/publications&gt;&lt;cites&gt;&lt;/cites&gt;&lt;/citation&gt;</w:instrText>
      </w:r>
      <w:r w:rsidRPr="006861C7">
        <w:fldChar w:fldCharType="separate"/>
      </w:r>
      <w:r>
        <w:rPr>
          <w:rFonts w:eastAsia="SimSun"/>
          <w:szCs w:val="24"/>
          <w:lang w:val="de-DE"/>
        </w:rPr>
        <w:t>(Taberlet et al., 2012)</w:t>
      </w:r>
      <w:r w:rsidRPr="006861C7">
        <w:fldChar w:fldCharType="end"/>
      </w:r>
      <w:r w:rsidRPr="006861C7">
        <w:t xml:space="preserve">. However, the usability of DNA </w:t>
      </w:r>
      <w:proofErr w:type="spellStart"/>
      <w:r w:rsidRPr="006861C7">
        <w:t>metabarcoding</w:t>
      </w:r>
      <w:proofErr w:type="spellEnd"/>
      <w:r w:rsidRPr="006861C7">
        <w:t xml:space="preserve"> remains limited because of severe primer bias which prevents the detection of all taxa present in a sample and hinders quantification of biomass and abundances </w:t>
      </w:r>
      <w:r w:rsidRPr="006861C7">
        <w:fldChar w:fldCharType="begin"/>
      </w:r>
      <w:r>
        <w:instrText xml:space="preserve"> ADDIN PAPERS2_CITATIONS &lt;citation&gt;&lt;uuid&gt;58A1FB58-5DC7-4965-8501-18E842CCC0CF&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uuid&gt;E7AAF673-D769-4AC5-B0CA-5FB9948E2ACB&lt;/uuid&gt;&lt;doi&gt;10.1111/1755-0998.12355&lt;/doi&gt;&lt;accepted_date&gt;99201411211200000000222000&lt;/accepted_date&gt;&lt;startpage&gt;1&lt;/startpage&gt;&lt;revision_date&gt;99201411171200000000222000&lt;/revision_date&gt;&lt;publication_date&gt;99201412021200000000222000&lt;/publication_date&gt;&lt;url&gt;http://eutils.ncbi.nlm.nih.gov/entrez/eutils/elink.fcgi?dbfrom=pubmed&amp;amp;id=25454249&amp;amp;retmode=ref&amp;amp;cmd=prlinks&lt;/url&gt;&lt;citekey&gt;Pinol:2014fp&lt;/citekey&gt;&lt;type&gt;400&lt;/type&gt;&lt;title&gt;Universal and blocking primer mismatches limit the use of high-throughput DNA sequencing for the quantitative metabarcoding of arthropods.&lt;/title&gt;&lt;submission_date&gt;99201405131200000000222000&lt;/submission_date&gt;&lt;institution&gt;Universitat Autònoma Barcelona, Cerdanyola del Vallès, 08193, Spain; CREAF, Cerdanyola del Vallès, 08193, Spain.&lt;/institution&gt;&lt;subtype&gt;400&lt;/subtype&gt;&lt;endpage&gt;12&lt;/endpage&gt;&lt;bundle&gt;&lt;publication&gt;&lt;title&gt;Molecular ecology resources&lt;/title&gt;&lt;type&gt;-100&lt;/type&gt;&lt;subtype&gt;-100&lt;/subtype&gt;&lt;uuid&gt;7CE88982-FDCB-4CC7-8286-36DE0C8F5823&lt;/uuid&gt;&lt;/publication&gt;&lt;/bundle&gt;&lt;authors&gt;&lt;author&gt;&lt;firstName&gt;J&lt;/firstName&gt;&lt;lastName&gt;Piñol&lt;/lastName&gt;&lt;/author&gt;&lt;author&gt;&lt;firstName&gt;G&lt;/firstName&gt;&lt;lastName&gt;Mir&lt;/lastName&gt;&lt;/author&gt;&lt;author&gt;&lt;firstName&gt;P&lt;/firstName&gt;&lt;lastName&gt;Gomez-Polo&lt;/lastName&gt;&lt;/author&gt;&lt;author&gt;&lt;firstName&gt;N&lt;/firstName&gt;&lt;lastName&gt;Agustí&lt;/lastName&gt;&lt;/author&gt;&lt;/authors&gt;&lt;/publication&gt;&lt;/publications&gt;&lt;cites&gt;&lt;/cites&gt;&lt;/citation&gt;</w:instrText>
      </w:r>
      <w:r w:rsidRPr="006861C7">
        <w:fldChar w:fldCharType="separate"/>
      </w:r>
      <w:r>
        <w:rPr>
          <w:rFonts w:eastAsia="SimSun"/>
          <w:szCs w:val="24"/>
          <w:lang w:val="de-DE"/>
        </w:rPr>
        <w:t>(Elbrecht and Leese, 2015; Piñol et al., 2014)</w:t>
      </w:r>
      <w:r w:rsidRPr="006861C7">
        <w:fldChar w:fldCharType="end"/>
      </w:r>
      <w:r w:rsidRPr="006861C7">
        <w:t>.</w:t>
      </w:r>
    </w:p>
    <w:p w14:paraId="2B892F59" w14:textId="77777777" w:rsidR="00DB41E2" w:rsidRPr="006861C7" w:rsidRDefault="00DB41E2" w:rsidP="00DB41E2">
      <w:pPr>
        <w:pStyle w:val="KeinLeerraum"/>
      </w:pPr>
    </w:p>
    <w:p w14:paraId="48EA3B87" w14:textId="77777777" w:rsidR="00DB41E2" w:rsidRDefault="00DB41E2" w:rsidP="00DB41E2">
      <w:pPr>
        <w:pStyle w:val="KeinLeerraum"/>
      </w:pPr>
      <w:r w:rsidRPr="006861C7">
        <w:t>A universal barcoding primer pair, which amplifies a marker sequence of suitable length for HTS, is thus the most critical component to assess</w:t>
      </w:r>
      <w:r>
        <w:t xml:space="preserve"> </w:t>
      </w:r>
      <w:proofErr w:type="spellStart"/>
      <w:r>
        <w:t>macroinvertebrate</w:t>
      </w:r>
      <w:proofErr w:type="spellEnd"/>
      <w:r>
        <w:t xml:space="preserve"> bulk </w:t>
      </w:r>
      <w:r w:rsidRPr="006861C7">
        <w:t xml:space="preserve">samples with </w:t>
      </w:r>
      <w:r>
        <w:t xml:space="preserve">DNA </w:t>
      </w:r>
      <w:proofErr w:type="spellStart"/>
      <w:r w:rsidRPr="006861C7">
        <w:t>metabarcoding</w:t>
      </w:r>
      <w:proofErr w:type="spellEnd"/>
      <w:r w:rsidRPr="006861C7">
        <w:t xml:space="preserve">. The COI barcoding gene region shows high codon degeneracy throughout its sequence, making the design of "truly" universal primers difficult </w:t>
      </w:r>
      <w:r w:rsidRPr="006861C7">
        <w:fldChar w:fldCharType="begin"/>
      </w:r>
      <w:r>
        <w:instrText xml:space="preserve"> ADDIN PAPERS2_CITATIONS &lt;citation&gt;&lt;uuid&gt;D359CD01-AFE0-4FAA-B06A-0906B6EEDB40&lt;/uuid&gt;&lt;priority&gt;0&lt;/priority&gt;&lt;publications&gt;&lt;publication&gt;&lt;uuid&gt;B5018827-4F94-4BD9-BF87-D6B167B8F74B&lt;/uuid&gt;&lt;volume&gt;10&lt;/volume&gt;&lt;doi&gt;10.1098/rsbl.2014.0562&lt;/doi&gt;&lt;startpage&gt;20140562&lt;/startpage&gt;&lt;publication_date&gt;99201409001200000000220000&lt;/publication_date&gt;&lt;url&gt;http://rsbl.royalsocietypublishing.org/cgi/doi/10.1098/rsbl.2014.0562&lt;/url&gt;&lt;citekey&gt;Deagle:2014eu&lt;/citekey&gt;&lt;type&gt;400&lt;/type&gt;&lt;title&gt;DNA metabarcoding and the cytochrome c oxidase subunit I marker: not a perfect match.&lt;/title&gt;&lt;publisher&gt;The Royal Society&lt;/publisher&gt;&lt;institution&gt;203, Channel Highway, Kingston, Tasmania, Australia bruce.deagle@aad.gov.au.&lt;/institution&gt;&lt;number&gt;9&lt;/number&gt;&lt;subtype&gt;400&lt;/subtype&gt;&lt;endpage&gt;20140562&lt;/endpage&gt;&lt;bundle&gt;&lt;publication&gt;&lt;title&gt;Biology Letters&lt;/title&gt;&lt;type&gt;-100&lt;/type&gt;&lt;subtype&gt;-100&lt;/subtype&gt;&lt;uuid&gt;31B113CA-E4EE-442C-ABBB-90F55AAB0A90&lt;/uuid&gt;&lt;/publication&gt;&lt;/bundle&gt;&lt;authors&gt;&lt;author&gt;&lt;firstName&gt;Bruce&lt;/firstName&gt;&lt;middleNames&gt;E&lt;/middleNames&gt;&lt;lastName&gt;Deagle&lt;/lastName&gt;&lt;/author&gt;&lt;author&gt;&lt;firstName&gt;Simon&lt;/firstName&gt;&lt;middleNames&gt;N&lt;/middleNames&gt;&lt;lastName&gt;Jarman&lt;/lastName&gt;&lt;/author&gt;&lt;author&gt;&lt;firstName&gt;Eric&lt;/firstName&gt;&lt;lastName&gt;Coissac&lt;/lastName&gt;&lt;/author&gt;&lt;author&gt;&lt;firstName&gt;François&lt;/firstName&gt;&lt;lastName&gt;Pompanon&lt;/lastName&gt;&lt;/author&gt;&lt;author&gt;&lt;firstName&gt;Pierre&lt;/firstName&gt;&lt;lastName&gt;Taberlet&lt;/lastName&gt;&lt;/author&gt;&lt;/authors&gt;&lt;/publication&gt;&lt;publication&gt;&lt;uuid&gt;62DB8CBB-4E6B-4561-B676-26678F7CC600&lt;/uuid&gt;&lt;volume&gt;55&lt;/volume&gt;&lt;accepted_date&gt;99201404251200000000222000&lt;/accepted_date&gt;&lt;doi&gt;10.1007/s13353-014-0218-9&lt;/doi&gt;&lt;startpage&gt;485&lt;/startpage&gt;&lt;revision_date&gt;99201404231200000000222000&lt;/revision_date&gt;&lt;publication_date&gt;99201411001200000000220000&lt;/publication_date&gt;&lt;url&gt;http://link.springer.com/10.1007/s13353-014-0218-9&lt;/url&gt;&lt;type&gt;400&lt;/type&gt;&lt;title&gt;Are "universal" DNA primers really universal?&lt;/title&gt;&lt;publisher&gt;Springer Berlin Heidelberg&lt;/publisher&gt;&lt;submission_date&gt;99201401131200000000222000&lt;/submission_date&gt;&lt;number&gt;4&lt;/number&gt;&lt;institution&gt;School of Earth and Environmental Sciences, University of Adelaide, Adelaide, Australia, pranay.sharma@adelaide.edu.au.&lt;/institution&gt;&lt;subtype&gt;400&lt;/subtype&gt;&lt;endpage&gt;496&lt;/endpage&gt;&lt;bundle&gt;&lt;publication&gt;&lt;title&gt;Journal of applied genetics&lt;/title&gt;&lt;type&gt;-100&lt;/type&gt;&lt;subtype&gt;-100&lt;/subtype&gt;&lt;uuid&gt;FA9566F2-744C-4D19-9C50-17B13449042C&lt;/uuid&gt;&lt;/publication&gt;&lt;/bundle&gt;&lt;authors&gt;&lt;author&gt;&lt;firstName&gt;Pranay&lt;/firstName&gt;&lt;lastName&gt;Sharma&lt;/lastName&gt;&lt;/author&gt;&lt;author&gt;&lt;firstName&gt;Tsuyoshi&lt;/firstName&gt;&lt;lastName&gt;Kobayashi&lt;/lastName&gt;&lt;/author&gt;&lt;/authors&gt;&lt;/publication&gt;&lt;/publications&gt;&lt;cites&gt;&lt;/cites&gt;&lt;/citation&gt;</w:instrText>
      </w:r>
      <w:r w:rsidRPr="006861C7">
        <w:fldChar w:fldCharType="separate"/>
      </w:r>
      <w:r>
        <w:rPr>
          <w:rFonts w:eastAsia="SimSun"/>
          <w:szCs w:val="24"/>
          <w:lang w:val="de-DE"/>
        </w:rPr>
        <w:t>(Deagle et al., 2014; Sharma and Kobayashi, 2014)</w:t>
      </w:r>
      <w:r w:rsidRPr="006861C7">
        <w:fldChar w:fldCharType="end"/>
      </w:r>
      <w:r w:rsidRPr="006861C7">
        <w:t xml:space="preserve">. Several universal COI barcoding primers have been developed of which many are now used or could be suitable for </w:t>
      </w:r>
      <w:proofErr w:type="spellStart"/>
      <w:r w:rsidRPr="006861C7">
        <w:t>metabarcoding</w:t>
      </w:r>
      <w:proofErr w:type="spellEnd"/>
      <w:r w:rsidRPr="006861C7">
        <w:t xml:space="preserve"> studies (Figure 1, e.g. </w:t>
      </w:r>
      <w:r w:rsidRPr="006861C7">
        <w:fldChar w:fldCharType="begin"/>
      </w:r>
      <w:r>
        <w:instrText xml:space="preserve"> ADDIN PAPERS2_CITATIONS &lt;citation&gt;&lt;uuid&gt;AC0F7BD0-A5A2-4C20-91F2-4B35F0DEE7A5&lt;/uuid&gt;&lt;priority&gt;0&lt;/priority&gt;&lt;publications&gt;&lt;publication&gt;&lt;uuid&gt;26A8C5F2-4775-4922-B733-2621A5DBB343&lt;/uuid&gt;&lt;volume&gt;3&lt;/volume&gt;&lt;startpage&gt;294&lt;/startpage&gt;&lt;publication_date&gt;99199410001200000000220000&lt;/publication_date&gt;&lt;url&gt;http://eutils.ncbi.nlm.nih.gov/entrez/eutils/elink.fcgi?dbfrom=pubmed&amp;amp;id=7881515&amp;amp;retmode=ref&amp;amp;cmd=prlinks&lt;/url&gt;&lt;citekey&gt;Folmer:1994td&lt;/citekey&gt;&lt;type&gt;400&lt;/type&gt;&lt;title&gt;DNA primers for amplification of mitochondrial cytochrome c oxidase subunit I from diverse metazoan invertebrates.&lt;/title&gt;&lt;location&gt;602,0,0,0&lt;/location&gt;&lt;institution&gt;Center for Theoretical and Applied Genetics, Rutgers University, New Brunswick, New Jersey 08903-231.&lt;/institution&gt;&lt;number&gt;5&lt;/number&gt;&lt;subtype&gt;400&lt;/subtype&gt;&lt;endpage&gt;299&lt;/endpage&gt;&lt;bundle&gt;&lt;publication&gt;&lt;title&gt;Molecular marine biology and biotechnology&lt;/title&gt;&lt;type&gt;-100&lt;/type&gt;&lt;subtype&gt;-100&lt;/subtype&gt;&lt;uuid&gt;CDE10730-4CB9-435E-B2DD-A305C0046ED8&lt;/uuid&gt;&lt;/publication&gt;&lt;/bundle&gt;&lt;authors&gt;&lt;author&gt;&lt;firstName&gt;O&lt;/firstName&gt;&lt;lastName&gt;Folmer&lt;/lastName&gt;&lt;/author&gt;&lt;author&gt;&lt;firstName&gt;M&lt;/firstName&gt;&lt;lastName&gt;Black&lt;/lastName&gt;&lt;/author&gt;&lt;author&gt;&lt;firstName&gt;W&lt;/firstName&gt;&lt;lastName&gt;Hoeh&lt;/lastName&gt;&lt;/author&gt;&lt;author&gt;&lt;firstName&gt;R&lt;/firstName&gt;&lt;lastName&gt;Lutz&lt;/lastName&gt;&lt;/author&gt;&lt;author&gt;&lt;firstName&gt;R&lt;/firstName&gt;&lt;lastName&gt;Vrijenhoek&lt;/lastName&gt;&lt;/author&gt;&lt;/authors&gt;&lt;/publication&gt;&lt;publication&gt;&lt;volume&gt;9&lt;/volume&gt;&lt;publication_date&gt;99200800001200000000200000&lt;/publication_date&gt;&lt;number&gt;1&lt;/number&gt;&lt;doi&gt;10.1186/1471-2164-9-214&lt;/doi&gt;&lt;startpage&gt;214&lt;/startpage&gt;&lt;title&gt;A universal DNA mini-barcode for biodiversity analysis&lt;/title&gt;&lt;uuid&gt;F8FAC9BE-9F9A-45B8-AB86-2189F491B2B9&lt;/uuid&gt;&lt;subtype&gt;400&lt;/subtype&gt;&lt;type&gt;400&lt;/type&gt;&lt;citekey&gt;Meusnier:2008cg&lt;/citekey&gt;&lt;url&gt;http://www.biomedcentral.com/1471-2164/9/214&lt;/url&gt;&lt;bundle&gt;&lt;publication&gt;&lt;publisher&gt;BioMed Central Ltd&lt;/publisher&gt;&lt;title&gt;BMC genomics&lt;/title&gt;&lt;type&gt;-100&lt;/type&gt;&lt;subtype&gt;-100&lt;/subtype&gt;&lt;uuid&gt;4812E5B6-00D5-40AB-8A30-25B2CADC0A68&lt;/uuid&gt;&lt;/publication&gt;&lt;/bundle&gt;&lt;authors&gt;&lt;author&gt;&lt;firstName&gt;Isabelle&lt;/firstName&gt;&lt;lastName&gt;Meusnier&lt;/lastName&gt;&lt;/author&gt;&lt;author&gt;&lt;firstName&gt;Gregory&lt;/firstName&gt;&lt;middleNames&gt;AC&lt;/middleNames&gt;&lt;lastName&gt;Singer&lt;/lastName&gt;&lt;/author&gt;&lt;author&gt;&lt;firstName&gt;Jean-François&lt;/firstName&gt;&lt;lastName&gt;Landry&lt;/lastName&gt;&lt;/author&gt;&lt;author&gt;&lt;firstName&gt;Donal&lt;/firstName&gt;&lt;middleNames&gt;A&lt;/middleNames&gt;&lt;lastName&gt;Hickey&lt;/lastName&gt;&lt;/author&gt;&lt;author&gt;&lt;firstName&gt;Paul&lt;/firstName&gt;&lt;middleNames&gt;DN&lt;/middleNames&gt;&lt;lastName&gt;Hebert&lt;/lastName&gt;&lt;/author&gt;&lt;author&gt;&lt;firstName&gt;Mehrdad&lt;/firstName&gt;&lt;lastName&gt;Hajibabaei&lt;/lastName&gt;&lt;/author&gt;&lt;/authors&gt;&lt;/publication&gt;&lt;publication&gt;&lt;uuid&gt;7A886D58-5994-4CE8-AB54-17E3985E5C4E&lt;/uuid&gt;&lt;volume&gt;11&lt;/volume&gt;&lt;doi&gt;10.1111/j.1755-0998.2010.02920.x&lt;/doi&gt;&lt;subtitle&gt;DNA BARCODING&lt;/subtitle&gt;&lt;startpage&gt;236&lt;/startpage&gt;&lt;publication_date&gt;99201009261200000000222000&lt;/publication_date&gt;&lt;url&gt;http://doi.wiley.com/10.1111/j.1755-0998.2010.02920.x&lt;/url&gt;&lt;citekey&gt;ZEALE:2010gx&lt;/citekey&gt;&lt;type&gt;400&lt;/type&gt;&lt;title&gt;Taxon-specific PCR for DNA barcoding arthropod prey in bat faeces&lt;/title&gt;&lt;publisher&gt;Blackwell Publishing Ltd&lt;/publisher&gt;&lt;number&gt;2&lt;/number&gt;&lt;subtype&gt;400&lt;/subtype&gt;&lt;endpage&gt;244&lt;/endpage&gt;&lt;bundle&gt;&lt;publication&gt;&lt;title&gt;Molecular ecology resources&lt;/title&gt;&lt;type&gt;-100&lt;/type&gt;&lt;subtype&gt;-100&lt;/subtype&gt;&lt;uuid&gt;7CE88982-FDCB-4CC7-8286-36DE0C8F5823&lt;/uuid&gt;&lt;/publication&gt;&lt;/bundle&gt;&lt;authors&gt;&lt;author&gt;&lt;firstName&gt;Matt&lt;/firstName&gt;&lt;middleNames&gt;R K&lt;/middleNames&gt;&lt;lastName&gt;Zeale&lt;/lastName&gt;&lt;/author&gt;&lt;author&gt;&lt;firstName&gt;Roger&lt;/firstName&gt;&lt;middleNames&gt;K&lt;/middleNames&gt;&lt;lastName&gt;Butlin&lt;/lastName&gt;&lt;/author&gt;&lt;author&gt;&lt;firstName&gt;Gary&lt;/firstName&gt;&lt;middleNames&gt;L A&lt;/middleNames&gt;&lt;lastName&gt;Barker&lt;/lastName&gt;&lt;/author&gt;&lt;author&gt;&lt;firstName&gt;David&lt;/firstName&gt;&lt;middleNames&gt;C&lt;/middleNames&gt;&lt;lastName&gt;Lees&lt;/lastName&gt;&lt;/author&gt;&lt;author&gt;&lt;firstName&gt;Gareth&lt;/firstName&gt;&lt;lastName&gt;Jones&lt;/lastName&gt;&lt;/author&gt;&lt;/authors&gt;&lt;/publication&gt;&lt;publication&gt;&lt;uuid&gt;573D77BD-D407-4AE8-A0C2-A5B6C00B1F7A&lt;/uuid&gt;&lt;volume&gt;10&lt;/volume&gt;&lt;accepted_date&gt;99201305231200000000222000&lt;/accepted_date&gt;&lt;doi&gt;10.1186/1742-9994-10-34&lt;/doi&gt;&lt;startpage&gt;1&lt;/startpage&gt;&lt;publication_date&gt;99201306141200000000222000&lt;/publication_date&gt;&lt;url&gt;Frontiers in Zoology&lt;/url&gt;&lt;citekey&gt;Leray:2013fo&lt;/citekey&gt;&lt;type&gt;400&lt;/type&gt;&lt;title&gt;A new versatile primer set targeting a short fragment of the mitochondrial COI region for metabarcoding metazoan diversity: application for characterizing coral reef fish gut contents&lt;/title&gt;&lt;publisher&gt;Frontiers in Zoology&lt;/publisher&gt;&lt;submission_date&gt;99201303141200000000222000&lt;/submission_date&gt;&lt;number&gt;1&lt;/number&gt;&lt;institution&gt;Laboratoire d'Excellence "CORAIL", USR 3278 CRIOBE CNRS-EPHE, CBETM de l'Université de Perpignan, 66860, Perpignan Cedex, France ; Department of Invertebrate Zoology, National Museum of Natural History, Smithsonian Institution, P.O. Box 37012, MRC-163, Washington, DC 20013-7012, USA.&lt;/institution&gt;&lt;subtype&gt;400&lt;/subtype&gt;&lt;endpage&gt;1&lt;/endpage&gt;&lt;bundle&gt;&lt;publication&gt;&lt;publisher&gt;BioMed Central Ltd&lt;/publisher&gt;&lt;title&gt;Frontiers in zoology&lt;/title&gt;&lt;type&gt;-100&lt;/type&gt;&lt;subtype&gt;-100&lt;/subtype&gt;&lt;uuid&gt;45F0FBE0-ECB3-4617-A145-F7A7F3F920FF&lt;/uuid&gt;&lt;/publication&gt;&lt;/bundle&gt;&lt;authors&gt;&lt;author&gt;&lt;firstName&gt;Matthieu&lt;/firstName&gt;&lt;lastName&gt;Leray&lt;/lastName&gt;&lt;/author&gt;&lt;author&gt;&lt;firstName&gt;Joy&lt;/firstName&gt;&lt;middleNames&gt;Y&lt;/middleNames&gt;&lt;lastName&gt;Yang&lt;/lastName&gt;&lt;/author&gt;&lt;author&gt;&lt;firstName&gt;Christopher&lt;/firstName&gt;&lt;middleNames&gt;P&lt;/middleNames&gt;&lt;lastName&gt;Meyer&lt;/lastName&gt;&lt;/author&gt;&lt;author&gt;&lt;firstName&gt;Suzanne&lt;/firstName&gt;&lt;middleNames&gt;C&lt;/middleNames&gt;&lt;lastName&gt;Mills&lt;/lastName&gt;&lt;/author&gt;&lt;author&gt;&lt;firstName&gt;Natalia&lt;/firstName&gt;&lt;lastName&gt;Agudelo&lt;/lastName&gt;&lt;/author&gt;&lt;author&gt;&lt;firstName&gt;Vincent&lt;/firstName&gt;&lt;lastName&gt;Ranwez&lt;/lastName&gt;&lt;/author&gt;&lt;author&gt;&lt;firstName&gt;Joel&lt;/firstName&gt;&lt;middleNames&gt;T&lt;/middleNames&gt;&lt;lastName&gt;Boehm&lt;/lastName&gt;&lt;/author&gt;&lt;author&gt;&lt;firstName&gt;Ryuji&lt;/firstName&gt;&lt;middleNames&gt;J&lt;/middleNames&gt;&lt;lastName&gt;Machida&lt;/lastName&gt;&lt;/author&gt;&lt;/authors&gt;&lt;/publication&gt;&lt;publication&gt;&lt;uuid&gt;6E9C9D7F-0ACF-4389-9F6E-6E197891C462&lt;/uuid&gt;&lt;volume&gt;101&lt;/volume&gt;&lt;doi&gt;10.1073/pnas.0406166101&lt;/doi&gt;&lt;startpage&gt;14812&lt;/startpage&gt;&lt;publication_date&gt;99200410121200000000222000&lt;/publication_date&gt;&lt;url&gt;http://www.pnas.org/cgi/doi/10.1073/pnas.0406166101&lt;/url&gt;&lt;type&gt;400&lt;/type&gt;&lt;title&gt;Ten species in one: DNA barcoding reveals cryptic species in the neotropical skipper butterfly Astraptes fulgerator.&lt;/title&gt;&lt;location&gt;200,9,43.5235413,-80.2272516&lt;/location&gt;&lt;institution&gt;Department of Zoology, University of Guelph, Guelph, ON, N1G 2W1, Canada. pherbert@uoguelph.ca&lt;/institution&gt;&lt;number&gt;41&lt;/number&gt;&lt;subtype&gt;400&lt;/subtype&gt;&lt;endpage&gt;14817&lt;/endpage&gt;&lt;bundle&gt;&lt;publication&gt;&lt;url&gt;http://www.pnas.org/&lt;/url&gt;&lt;title&gt;Proceedings of the National Academy of Sciences of the United States of America&lt;/title&gt;&lt;type&gt;-100&lt;/type&gt;&lt;subtype&gt;-100&lt;/subtype&gt;&lt;uuid&gt;3525D1B7-8765-4543-907C-C49C8444C327&lt;/uuid&gt;&lt;/publication&gt;&lt;/bundle&gt;&lt;authors&gt;&lt;author&gt;&lt;firstName&gt;Paul&lt;/firstName&gt;&lt;middleNames&gt;D N&lt;/middleNames&gt;&lt;lastName&gt;Hebert&lt;/lastName&gt;&lt;/author&gt;&lt;author&gt;&lt;firstName&gt;Erin&lt;/firstName&gt;&lt;middleNames&gt;H&lt;/middleNames&gt;&lt;lastName&gt;Penton&lt;/lastName&gt;&lt;/author&gt;&lt;author&gt;&lt;firstName&gt;John&lt;/firstName&gt;&lt;middleNames&gt;M&lt;/middleNames&gt;&lt;lastName&gt;Burns&lt;/lastName&gt;&lt;/author&gt;&lt;author&gt;&lt;firstName&gt;Daniel&lt;/firstName&gt;&lt;middleNames&gt;H&lt;/middleNames&gt;&lt;lastName&gt;Janzen&lt;/lastName&gt;&lt;/author&gt;&lt;author&gt;&lt;firstName&gt;Winnie&lt;/firstName&gt;&lt;lastName&gt;Hallwachs&lt;/lastName&gt;&lt;/author&gt;&lt;/authors&gt;&lt;/publication&gt;&lt;publication&gt;&lt;volume&gt;6&lt;/volume&gt;&lt;publication_date&gt;99201107271200000000222000&lt;/publication_date&gt;&lt;number&gt;7&lt;/number&gt;&lt;doi&gt;10.1371/journal.pone.0021252.s002&lt;/doi&gt;&lt;startpage&gt;e21252&lt;/startpage&gt;&lt;title&gt;Pyrosequencing for Mini-Barcoding of Fresh and Old Museum Specimens&lt;/title&gt;&lt;uuid&gt;1D9B8D20-3F2B-4330-92DD-AC9D83E1AB34&lt;/uuid&gt;&lt;subtype&gt;400&lt;/subtype&gt;&lt;type&gt;400&lt;/type&gt;&lt;url&gt;http://dx.plos.org/10.1371/journal.pone.0021252.s002&lt;/url&gt;&lt;bundle&gt;&lt;publication&gt;&lt;url&gt;http://www.plosone.org/&lt;/url&gt;&lt;title&gt;PloS one&lt;/title&gt;&lt;type&gt;-100&lt;/type&gt;&lt;subtype&gt;-100&lt;/subtype&gt;&lt;uuid&gt;1D6F4235-EFEF-4B84-B06B-A3B239622C6C&lt;/uuid&gt;&lt;/publication&gt;&lt;/bundle&gt;&lt;authors&gt;&lt;author&gt;&lt;firstName&gt;Shadi&lt;/firstName&gt;&lt;lastName&gt;Shokralla&lt;/lastName&gt;&lt;/author&gt;&lt;author&gt;&lt;firstName&gt;Xin&lt;/firstName&gt;&lt;lastName&gt;Zhou&lt;/lastName&gt;&lt;/author&gt;&lt;author&gt;&lt;firstName&gt;Daniel&lt;/firstName&gt;&lt;middleNames&gt;H&lt;/middleNames&gt;&lt;lastName&gt;Janzen&lt;/lastName&gt;&lt;/author&gt;&lt;author&gt;&lt;firstName&gt;Winnie&lt;/firstName&gt;&lt;lastName&gt;Hallwachs&lt;/lastName&gt;&lt;/author&gt;&lt;author&gt;&lt;firstName&gt;Jean-François&lt;/firstName&gt;&lt;lastName&gt;Landry&lt;/lastName&gt;&lt;/author&gt;&lt;author&gt;&lt;firstName&gt;Luke&lt;/firstName&gt;&lt;middleNames&gt;M&lt;/middleNames&gt;&lt;lastName&gt;Jacobus&lt;/lastName&gt;&lt;/author&gt;&lt;author&gt;&lt;firstName&gt;Mehrdad&lt;/firstName&gt;&lt;lastName&gt;Hajibabaei&lt;/lastName&gt;&lt;/author&gt;&lt;/authors&gt;&lt;editors&gt;&lt;author&gt;&lt;firstName&gt;Sergios-Orestis&lt;/firstName&gt;&lt;lastName&gt;Kolokotronis&lt;/lastName&gt;&lt;/author&gt;&lt;/editors&gt;&lt;/publication&gt;&lt;publication&gt;&lt;uuid&gt;E1E3B435-02AE-4EDE-AF00-932B2E28ABD8&lt;/uuid&gt;&lt;volume&gt;105&lt;/volume&gt;&lt;doi&gt;10.1017/S0007485315000681&lt;/doi&gt;&lt;startpage&gt;717&lt;/startpage&gt;&lt;publication_date&gt;99201509071200000000222000&lt;/publication_date&gt;&lt;url&gt;http://www.journals.cambridge.org/abstract_S0007485315000681&lt;/url&gt;&lt;citekey&gt;BrandonMong:2015gx&lt;/citekey&gt;&lt;type&gt;400&lt;/type&gt;&lt;title&gt;DNA metabarcoding of insects and allies: an evaluation of primers and pipelines&lt;/title&gt;&lt;publisher&gt;Cambridge University Press&lt;/publisher&gt;&lt;number&gt;06&lt;/number&gt;&lt;subtype&gt;400&lt;/subtype&gt;&lt;endpage&gt;727&lt;/endpage&gt;&lt;bundle&gt;&lt;publication&gt;&lt;title&gt;Bulletin of Entomological Research&lt;/title&gt;&lt;type&gt;-100&lt;/type&gt;&lt;subtype&gt;-100&lt;/subtype&gt;&lt;uuid&gt;D247E74D-A9DF-4125-A12C-917C4232E83C&lt;/uuid&gt;&lt;/publication&gt;&lt;/bundle&gt;&lt;authors&gt;&lt;author&gt;&lt;firstName&gt;G&lt;/firstName&gt;&lt;middleNames&gt;J&lt;/middleNames&gt;&lt;lastName&gt;Brandon-Mong&lt;/lastName&gt;&lt;/author&gt;&lt;author&gt;&lt;firstName&gt;H&lt;/firstName&gt;&lt;middleNames&gt;M&lt;/middleNames&gt;&lt;lastName&gt;Gan&lt;/lastName&gt;&lt;/author&gt;&lt;author&gt;&lt;firstName&gt;K&lt;/firstName&gt;&lt;middleNames&gt;W&lt;/middleNames&gt;&lt;lastName&gt;Sing&lt;/lastName&gt;&lt;/author&gt;&lt;author&gt;&lt;firstName&gt;P&lt;/firstName&gt;&lt;middleNames&gt;S&lt;/middleNames&gt;&lt;lastName&gt;Lee&lt;/lastName&gt;&lt;/author&gt;&lt;author&gt;&lt;firstName&gt;P&lt;/firstName&gt;&lt;middleNames&gt;E&lt;/middleNames&gt;&lt;lastName&gt;Lim&lt;/lastName&gt;&lt;/author&gt;&lt;author&gt;&lt;firstName&gt;J&lt;/firstName&gt;&lt;middleNames&gt;J&lt;/middleNames&gt;&lt;lastName&gt;Wilson&lt;/lastName&gt;&lt;/author&gt;&lt;/authors&gt;&lt;/publication&gt;&lt;publication&gt;&lt;uuid&gt;07350A96-C1A9-4350-91E4-3B25E41E7567&lt;/uuid&gt;&lt;volume&gt;5&lt;/volume&gt;&lt;accepted_date&gt;99201503161200000000222000&lt;/accepted_date&gt;&lt;doi&gt;10.1038/srep09687&lt;/doi&gt;&lt;startpage&gt;9687&lt;/startpage&gt;&lt;publication_date&gt;99201500001200000000200000&lt;/publication_date&gt;&lt;url&gt;http://www.nature.com/srep/2015/150408/srep09687/full/srep09687.html&lt;/url&gt;&lt;citekey&gt;Shokralla:2015fj&lt;/citekey&gt;&lt;type&gt;400&lt;/type&gt;&lt;title&gt;Massively parallel multiplex DNA sequencing for specimen identification using an Illumina MiSeq platform.&lt;/title&gt;&lt;submission_date&gt;99201501071200000000222000&lt;/submission_date&gt;&lt;institution&gt;Department of Integrative Biology and Biodiversity Institute of Ontario, University of Guelph, 50 Stone Road East, Guelph, ON, Canada N1G 2W1.&lt;/institution&gt;&lt;subtype&gt;400&lt;/subtype&gt;&lt;bundle&gt;&lt;publication&gt;&lt;publisher&gt;Nature Publishing Group&lt;/publisher&gt;&lt;title&gt;Scientific Reports&lt;/title&gt;&lt;type&gt;-100&lt;/type&gt;&lt;subtype&gt;-100&lt;/subtype&gt;&lt;uuid&gt;B7F7CE82-0C6F-4419-952D-DBD4C63E9B6F&lt;/uuid&gt;&lt;/publication&gt;&lt;/bundle&gt;&lt;authors&gt;&lt;author&gt;&lt;firstName&gt;Shadi&lt;/firstName&gt;&lt;lastName&gt;Shokralla&lt;/lastName&gt;&lt;/author&gt;&lt;author&gt;&lt;firstName&gt;Teresita&lt;/firstName&gt;&lt;middleNames&gt;M&lt;/middleNames&gt;&lt;lastName&gt;Porter&lt;/lastName&gt;&lt;/author&gt;&lt;author&gt;&lt;firstName&gt;Joel&lt;/firstName&gt;&lt;middleNames&gt;F&lt;/middleNames&gt;&lt;lastName&gt;Gibson&lt;/lastName&gt;&lt;/author&gt;&lt;author&gt;&lt;firstName&gt;Rafal&lt;/firstName&gt;&lt;lastName&gt;Dobosz&lt;/lastName&gt;&lt;/author&gt;&lt;author&gt;&lt;firstName&gt;Daniel&lt;/firstName&gt;&lt;middleNames&gt;H&lt;/middleNames&gt;&lt;lastName&gt;Janzen&lt;/lastName&gt;&lt;/author&gt;&lt;author&gt;&lt;firstName&gt;Winnie&lt;/firstName&gt;&lt;lastName&gt;Hallwachs&lt;/lastName&gt;&lt;/author&gt;&lt;author&gt;&lt;firstName&gt;G&lt;/firstName&gt;&lt;middleNames&gt;Brian&lt;/middleNames&gt;&lt;lastName&gt;Golding&lt;/lastName&gt;&lt;/author&gt;&lt;author&gt;&lt;firstName&gt;Mehrdad&lt;/firstName&gt;&lt;lastName&gt;Hajibabaei&lt;/lastName&gt;&lt;/author&gt;&lt;/authors&gt;&lt;/publication&gt;&lt;publication&gt;&lt;uuid&gt;2F64A506-50EB-4314-9657-9F62D0FF9940&lt;/uuid&gt;&lt;volume&gt;111&lt;/volume&gt;&lt;doi&gt;10.1073/pnas.1406468111&lt;/doi&gt;&lt;startpage&gt;8007&lt;/startpage&gt;&lt;publication_date&gt;99201406031200000000222000&lt;/publication_date&gt;&lt;url&gt;http://www.pnas.org/content/111/22/8007.full&lt;/url&gt;&lt;citekey&gt;Gibson:2014ge&lt;/citekey&gt;&lt;type&gt;400&lt;/type&gt;&lt;title&gt;Simultaneous assessment of the macrobiome and microbiome in a bulk sample of tropical arthropods through DNA metasystematics.&lt;/title&gt;&lt;publisher&gt;National Acad Sciences&lt;/publisher&gt;&lt;institution&gt;Department of Integrative Biology and Biodiversity Institute of Ontario, University of Guelph, Guelph, ON, Canada N1G 2W1;&lt;/institution&gt;&lt;number&gt;22&lt;/number&gt;&lt;subtype&gt;400&lt;/subtype&gt;&lt;endpage&gt;8012&lt;/endpage&gt;&lt;bundle&gt;&lt;publication&gt;&lt;url&gt;http://www.pnas.org/&lt;/url&gt;&lt;title&gt;Proceedings of the National Academy of Sciences&lt;/title&gt;&lt;type&gt;-100&lt;/type&gt;&lt;subtype&gt;-100&lt;/subtype&gt;&lt;uuid&gt;24722CBA-50B9-4F7F-A714-51D9167ECE3A&lt;/uuid&gt;&lt;/publication&gt;&lt;/bundle&gt;&lt;authors&gt;&lt;author&gt;&lt;firstName&gt;Joel&lt;/firstName&gt;&lt;lastName&gt;Gibson&lt;/lastName&gt;&lt;/author&gt;&lt;author&gt;&lt;firstName&gt;Shadi&lt;/firstName&gt;&lt;lastName&gt;Shokralla&lt;/lastName&gt;&lt;/author&gt;&lt;author&gt;&lt;firstName&gt;Teresita&lt;/firstName&gt;&lt;middleNames&gt;M&lt;/middleNames&gt;&lt;lastName&gt;Porter&lt;/lastName&gt;&lt;/author&gt;&lt;author&gt;&lt;firstName&gt;Ian&lt;/firstName&gt;&lt;lastName&gt;King&lt;/lastName&gt;&lt;/author&gt;&lt;author&gt;&lt;nonDroppingParticle&gt;van&lt;/nonDroppingParticle&gt;&lt;firstName&gt;Steven&lt;/firstName&gt;&lt;lastName&gt;Konynenburg&lt;/lastName&gt;&lt;/author&gt;&lt;author&gt;&lt;firstName&gt;Daniel&lt;/firstName&gt;&lt;middleNames&gt;H&lt;/middleNames&gt;&lt;lastName&gt;Janzen&lt;/lastName&gt;&lt;/author&gt;&lt;author&gt;&lt;firstName&gt;Winnie&lt;/firstName&gt;&lt;lastName&gt;Hallwachs&lt;/lastName&gt;&lt;/author&gt;&lt;author&gt;&lt;firstName&gt;Mehrdad&lt;/firstName&gt;&lt;lastName&gt;Hajibabaei&lt;/lastName&gt;&lt;/author&gt;&lt;/authors&gt;&lt;/publication&gt;&lt;publication&gt;&lt;uuid&gt;350DEA3B-F23E-4A91-A1B8-C741343E3054&lt;/uuid&gt;&lt;volume&gt;13&lt;/volume&gt;&lt;doi&gt;10.1111/1755-0998.12138&lt;/doi&gt;&lt;startpage&gt;851&lt;/startpage&gt;&lt;publication_date&gt;99201307131200000000222000&lt;/publication_date&gt;&lt;url&gt;http://doi.wiley.com/10.1111/1755-0998.12138&lt;/url&gt;&lt;citekey&gt;Geller:2013ka&lt;/citekey&gt;&lt;type&gt;400&lt;/type&gt;&lt;title&gt;Redesign of PCR primers for mitochondrial cytochrome coxidase subunit I for marine invertebrates and application in all-taxa biotic surveys&lt;/title&gt;&lt;number&gt;5&lt;/number&gt;&lt;subtype&gt;400&lt;/subtype&gt;&lt;endpage&gt;861&lt;/endpage&gt;&lt;bundle&gt;&lt;publication&gt;&lt;title&gt;Molecular ecology resources&lt;/title&gt;&lt;type&gt;-100&lt;/type&gt;&lt;subtype&gt;-100&lt;/subtype&gt;&lt;uuid&gt;7CE88982-FDCB-4CC7-8286-36DE0C8F5823&lt;/uuid&gt;&lt;/publication&gt;&lt;/bundle&gt;&lt;authors&gt;&lt;author&gt;&lt;firstName&gt;J&lt;/firstName&gt;&lt;lastName&gt;Geller&lt;/lastName&gt;&lt;/author&gt;&lt;author&gt;&lt;firstName&gt;C&lt;/firstName&gt;&lt;lastName&gt;Meyer&lt;/lastName&gt;&lt;/author&gt;&lt;author&gt;&lt;firstName&gt;M&lt;/firstName&gt;&lt;lastName&gt;Parker&lt;/lastName&gt;&lt;/author&gt;&lt;author&gt;&lt;firstName&gt;H&lt;/firstName&gt;&lt;lastName&gt;Hawk&lt;/lastName&gt;&lt;/author&gt;&lt;/authors&gt;&lt;/publication&gt;&lt;publication&gt;&lt;uuid&gt;8B326474-ACBD-4F62-8A93-4C35467D8529&lt;/uuid&gt;&lt;volume&gt;10&lt;/volume&gt;&lt;doi&gt;10.1111/j.1755-0998.2009.02800.x&lt;/doi&gt;&lt;startpage&gt;459&lt;/startpage&gt;&lt;publication_date&gt;99201005001200000000220000&lt;/publication_date&gt;&lt;url&gt;http://doi.wiley.com/10.1111/j.1755-0998.2009.02800.x&lt;/url&gt;&lt;citekey&gt;vanHOUDT:2010iv&lt;/citekey&gt;&lt;type&gt;400&lt;/type&gt;&lt;title&gt;Recovering full DNA barcodes from natural history collections of Tephritid fruitflies (Tephritidae, Diptera) using mini barcodes&lt;/title&gt;&lt;publisher&gt;Blackwell Publishing Ltd&lt;/publisher&gt;&lt;number&gt;3&lt;/number&gt;&lt;subtype&gt;400&lt;/subtype&gt;&lt;endpage&gt;465&lt;/endpage&gt;&lt;bundle&gt;&lt;publication&gt;&lt;title&gt;Molecular ecology resources&lt;/title&gt;&lt;type&gt;-100&lt;/type&gt;&lt;subtype&gt;-100&lt;/subtype&gt;&lt;uuid&gt;7CE88982-FDCB-4CC7-8286-36DE0C8F5823&lt;/uuid&gt;&lt;/publication&gt;&lt;/bundle&gt;&lt;authors&gt;&lt;author&gt;&lt;lastName&gt;Houdt&lt;/lastName&gt;&lt;nonDroppingParticle&gt;Van&lt;/nonDroppingParticle&gt;&lt;firstName&gt;J&lt;/firstName&gt;&lt;middleNames&gt;K J&lt;/middleNames&gt;&lt;/author&gt;&lt;author&gt;&lt;firstName&gt;F&lt;/firstName&gt;&lt;middleNames&gt;C&lt;/middleNames&gt;&lt;lastName&gt;Breman&lt;/lastName&gt;&lt;/author&gt;&lt;author&gt;&lt;firstName&gt;M&lt;/firstName&gt;&lt;lastName&gt;Virgilio&lt;/lastName&gt;&lt;/author&gt;&lt;author&gt;&lt;nonDroppingParticle&gt;De&lt;/nonDroppingParticle&gt;&lt;firstName&gt;M&lt;/firstName&gt;&lt;lastName&gt;Meyer&lt;/lastName&gt;&lt;/author&gt;&lt;/authors&gt;&lt;/publication&gt;&lt;/publications&gt;&lt;cites&gt;&lt;/cites&gt;&lt;/citation&gt;</w:instrText>
      </w:r>
      <w:r w:rsidRPr="006861C7">
        <w:fldChar w:fldCharType="separate"/>
      </w:r>
      <w:r>
        <w:rPr>
          <w:rFonts w:eastAsia="SimSun"/>
          <w:szCs w:val="24"/>
          <w:lang w:val="de-DE"/>
        </w:rPr>
        <w:t>(Brandon-Mong et al., 2015; Folmer et al., 1994; Geller et al., 2013; Gibson et al., 2014; Hebert et al., 2004; Leray et al., 2013; Meusnier et al., 2008; Shokralla et al., 2011; 2015; Van Houdt et al., 2010; Zeale et al., 2010)</w:t>
      </w:r>
      <w:r w:rsidRPr="006861C7">
        <w:fldChar w:fldCharType="end"/>
      </w:r>
      <w:r w:rsidRPr="006861C7">
        <w:t xml:space="preserve">. </w:t>
      </w:r>
      <w:r>
        <w:t xml:space="preserve">However, often these primers were developed for a specific taxonomic group, purpose or ecosystem, as for example the </w:t>
      </w:r>
      <w:r>
        <w:fldChar w:fldCharType="begin"/>
      </w:r>
      <w:r>
        <w:instrText xml:space="preserve"> ADDIN PAPERS2_CITATIONS &lt;citation&gt;&lt;uuid&gt;3871C356-0BB1-40F7-87A4-AA66353A0721&lt;/uuid&gt;&lt;priority&gt;0&lt;/priority&gt;&lt;publications&gt;&lt;publication&gt;&lt;uuid&gt;7A886D58-5994-4CE8-AB54-17E3985E5C4E&lt;/uuid&gt;&lt;volume&gt;11&lt;/volume&gt;&lt;doi&gt;10.1111/j.1755-0998.2010.02920.x&lt;/doi&gt;&lt;subtitle&gt;DNA BARCODING&lt;/subtitle&gt;&lt;startpage&gt;236&lt;/startpage&gt;&lt;publication_date&gt;99201009261200000000222000&lt;/publication_date&gt;&lt;url&gt;http://doi.wiley.com/10.1111/j.1755-0998.2010.02920.x&lt;/url&gt;&lt;citekey&gt;ZEALE:2010gx&lt;/citekey&gt;&lt;type&gt;400&lt;/type&gt;&lt;title&gt;Taxon-specific PCR for DNA barcoding arthropod prey in bat faeces&lt;/title&gt;&lt;publisher&gt;Blackwell Publishing Ltd&lt;/publisher&gt;&lt;number&gt;2&lt;/number&gt;&lt;subtype&gt;400&lt;/subtype&gt;&lt;endpage&gt;244&lt;/endpage&gt;&lt;bundle&gt;&lt;publication&gt;&lt;title&gt;Molecular ecology resources&lt;/title&gt;&lt;type&gt;-100&lt;/type&gt;&lt;subtype&gt;-100&lt;/subtype&gt;&lt;uuid&gt;7CE88982-FDCB-4CC7-8286-36DE0C8F5823&lt;/uuid&gt;&lt;/publication&gt;&lt;/bundle&gt;&lt;authors&gt;&lt;author&gt;&lt;firstName&gt;Matt&lt;/firstName&gt;&lt;middleNames&gt;R K&lt;/middleNames&gt;&lt;lastName&gt;Zeale&lt;/lastName&gt;&lt;/author&gt;&lt;author&gt;&lt;firstName&gt;Roger&lt;/firstName&gt;&lt;middleNames&gt;K&lt;/middleNames&gt;&lt;lastName&gt;Butlin&lt;/lastName&gt;&lt;/author&gt;&lt;author&gt;&lt;firstName&gt;Gary&lt;/firstName&gt;&lt;middleNames&gt;L A&lt;/middleNames&gt;&lt;lastName&gt;Barker&lt;/lastName&gt;&lt;/author&gt;&lt;author&gt;&lt;firstName&gt;David&lt;/firstName&gt;&lt;middleNames&gt;C&lt;/middleNames&gt;&lt;lastName&gt;Lees&lt;/lastName&gt;&lt;/author&gt;&lt;author&gt;&lt;firstName&gt;Gareth&lt;/firstName&gt;&lt;lastName&gt;Jones&lt;/lastName&gt;&lt;/author&gt;&lt;/authors&gt;&lt;/publication&gt;&lt;/publications&gt;&lt;cites&gt;&lt;/cites&gt;&lt;/citation&gt;</w:instrText>
      </w:r>
      <w:r>
        <w:fldChar w:fldCharType="separate"/>
      </w:r>
      <w:r>
        <w:rPr>
          <w:rFonts w:eastAsia="SimSun"/>
          <w:szCs w:val="24"/>
          <w:lang w:val="de-DE"/>
        </w:rPr>
        <w:t>(Zeale et al., 2010)</w:t>
      </w:r>
      <w:r>
        <w:fldChar w:fldCharType="end"/>
      </w:r>
      <w:r>
        <w:t xml:space="preserve"> primers originally developed for gut content analysis on bats, but now more widely used. Thus</w:t>
      </w:r>
      <w:r w:rsidRPr="006861C7">
        <w:t xml:space="preserve">, despite being </w:t>
      </w:r>
      <w:r>
        <w:t>"</w:t>
      </w:r>
      <w:r w:rsidRPr="006861C7">
        <w:t>universal</w:t>
      </w:r>
      <w:r>
        <w:t>"</w:t>
      </w:r>
      <w:r w:rsidRPr="006861C7">
        <w:t xml:space="preserve"> and often including several degenerate bases, </w:t>
      </w:r>
      <w:proofErr w:type="spellStart"/>
      <w:r w:rsidRPr="006861C7">
        <w:t>metabarcoding</w:t>
      </w:r>
      <w:proofErr w:type="spellEnd"/>
      <w:r w:rsidRPr="006861C7">
        <w:t xml:space="preserve"> primers typically recover only 80-90% or even less of the taxa present in a sample </w:t>
      </w:r>
      <w:r w:rsidRPr="006861C7">
        <w:lastRenderedPageBreak/>
        <w:fldChar w:fldCharType="begin"/>
      </w:r>
      <w:r>
        <w:instrText xml:space="preserve"> ADDIN PAPERS2_CITATIONS &lt;citation&gt;&lt;uuid&gt;5E430E05-E80C-4514-AE70-8146D130FF79&lt;/uuid&gt;&lt;priority&gt;0&lt;/priority&gt;&lt;publications&gt;&lt;publication&gt;&lt;uuid&gt;E1E3B435-02AE-4EDE-AF00-932B2E28ABD8&lt;/uuid&gt;&lt;volume&gt;105&lt;/volume&gt;&lt;doi&gt;10.1017/S0007485315000681&lt;/doi&gt;&lt;startpage&gt;717&lt;/startpage&gt;&lt;publication_date&gt;99201509071200000000222000&lt;/publication_date&gt;&lt;url&gt;http://www.journals.cambridge.org/abstract_S0007485315000681&lt;/url&gt;&lt;citekey&gt;BrandonMong:2015gx&lt;/citekey&gt;&lt;type&gt;400&lt;/type&gt;&lt;title&gt;DNA metabarcoding of insects and allies: an evaluation of primers and pipelines&lt;/title&gt;&lt;publisher&gt;Cambridge University Press&lt;/publisher&gt;&lt;number&gt;06&lt;/number&gt;&lt;subtype&gt;400&lt;/subtype&gt;&lt;endpage&gt;727&lt;/endpage&gt;&lt;bundle&gt;&lt;publication&gt;&lt;title&gt;Bulletin of Entomological Research&lt;/title&gt;&lt;type&gt;-100&lt;/type&gt;&lt;subtype&gt;-100&lt;/subtype&gt;&lt;uuid&gt;D247E74D-A9DF-4125-A12C-917C4232E83C&lt;/uuid&gt;&lt;/publication&gt;&lt;/bundle&gt;&lt;authors&gt;&lt;author&gt;&lt;firstName&gt;G&lt;/firstName&gt;&lt;middleNames&gt;J&lt;/middleNames&gt;&lt;lastName&gt;Brandon-Mong&lt;/lastName&gt;&lt;/author&gt;&lt;author&gt;&lt;firstName&gt;H&lt;/firstName&gt;&lt;middleNames&gt;M&lt;/middleNames&gt;&lt;lastName&gt;Gan&lt;/lastName&gt;&lt;/author&gt;&lt;author&gt;&lt;firstName&gt;K&lt;/firstName&gt;&lt;middleNames&gt;W&lt;/middleNames&gt;&lt;lastName&gt;Sing&lt;/lastName&gt;&lt;/author&gt;&lt;author&gt;&lt;firstName&gt;P&lt;/firstName&gt;&lt;middleNames&gt;S&lt;/middleNames&gt;&lt;lastName&gt;Lee&lt;/lastName&gt;&lt;/author&gt;&lt;author&gt;&lt;firstName&gt;P&lt;/firstName&gt;&lt;middleNames&gt;E&lt;/middleNames&gt;&lt;lastName&gt;Lim&lt;/lastName&gt;&lt;/author&gt;&lt;author&gt;&lt;firstName&gt;J&lt;/firstName&gt;&lt;middleNames&gt;J&lt;/middleNames&gt;&lt;lastName&gt;Wilson&lt;/lastName&gt;&lt;/author&gt;&lt;/authors&gt;&lt;/publication&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uuid&gt;573D77BD-D407-4AE8-A0C2-A5B6C00B1F7A&lt;/uuid&gt;&lt;volume&gt;10&lt;/volume&gt;&lt;accepted_date&gt;99201305231200000000222000&lt;/accepted_date&gt;&lt;doi&gt;10.1186/1742-9994-10-34&lt;/doi&gt;&lt;startpage&gt;1&lt;/startpage&gt;&lt;publication_date&gt;99201306141200000000222000&lt;/publication_date&gt;&lt;url&gt;Frontiers in Zoology&lt;/url&gt;&lt;citekey&gt;Leray:2013fo&lt;/citekey&gt;&lt;type&gt;400&lt;/type&gt;&lt;title&gt;A new versatile primer set targeting a short fragment of the mitochondrial COI region for metabarcoding metazoan diversity: application for characterizing coral reef fish gut contents&lt;/title&gt;&lt;publisher&gt;Frontiers in Zoology&lt;/publisher&gt;&lt;submission_date&gt;99201303141200000000222000&lt;/submission_date&gt;&lt;number&gt;1&lt;/number&gt;&lt;institution&gt;Laboratoire d'Excellence "CORAIL", USR 3278 CRIOBE CNRS-EPHE, CBETM de l'Université de Perpignan, 66860, Perpignan Cedex, France ; Department of Invertebrate Zoology, National Museum of Natural History, Smithsonian Institution, P.O. Box 37012, MRC-163, Washington, DC 20013-7012, USA.&lt;/institution&gt;&lt;subtype&gt;400&lt;/subtype&gt;&lt;endpage&gt;1&lt;/endpage&gt;&lt;bundle&gt;&lt;publication&gt;&lt;publisher&gt;BioMed Central Ltd&lt;/publisher&gt;&lt;title&gt;Frontiers in zoology&lt;/title&gt;&lt;type&gt;-100&lt;/type&gt;&lt;subtype&gt;-100&lt;/subtype&gt;&lt;uuid&gt;45F0FBE0-ECB3-4617-A145-F7A7F3F920FF&lt;/uuid&gt;&lt;/publication&gt;&lt;/bundle&gt;&lt;authors&gt;&lt;author&gt;&lt;firstName&gt;Matthieu&lt;/firstName&gt;&lt;lastName&gt;Leray&lt;/lastName&gt;&lt;/author&gt;&lt;author&gt;&lt;firstName&gt;Joy&lt;/firstName&gt;&lt;middleNames&gt;Y&lt;/middleNames&gt;&lt;lastName&gt;Yang&lt;/lastName&gt;&lt;/author&gt;&lt;author&gt;&lt;firstName&gt;Christopher&lt;/firstName&gt;&lt;middleNames&gt;P&lt;/middleNames&gt;&lt;lastName&gt;Meyer&lt;/lastName&gt;&lt;/author&gt;&lt;author&gt;&lt;firstName&gt;Suzanne&lt;/firstName&gt;&lt;middleNames&gt;C&lt;/middleNames&gt;&lt;lastName&gt;Mills&lt;/lastName&gt;&lt;/author&gt;&lt;author&gt;&lt;firstName&gt;Natalia&lt;/firstName&gt;&lt;lastName&gt;Agudelo&lt;/lastName&gt;&lt;/author&gt;&lt;author&gt;&lt;firstName&gt;Vincent&lt;/firstName&gt;&lt;lastName&gt;Ranwez&lt;/lastName&gt;&lt;/author&gt;&lt;author&gt;&lt;firstName&gt;Joel&lt;/firstName&gt;&lt;middleNames&gt;T&lt;/middleNames&gt;&lt;lastName&gt;Boehm&lt;/lastName&gt;&lt;/author&gt;&lt;author&gt;&lt;firstName&gt;Ryuji&lt;/firstName&gt;&lt;middleNames&gt;J&lt;/middleNames&gt;&lt;lastName&gt;Machida&lt;/lastName&gt;&lt;/author&gt;&lt;/authors&gt;&lt;/publication&gt;&lt;/publications&gt;&lt;cites&gt;&lt;/cites&gt;&lt;/citation&gt;</w:instrText>
      </w:r>
      <w:r w:rsidRPr="006861C7">
        <w:fldChar w:fldCharType="separate"/>
      </w:r>
      <w:r>
        <w:rPr>
          <w:rFonts w:eastAsia="SimSun"/>
          <w:szCs w:val="24"/>
          <w:lang w:val="de-DE"/>
        </w:rPr>
        <w:t>(Brandon-Mong et al., 2015; Elbrecht and Leese, 2015; Leray et al., 2013)</w:t>
      </w:r>
      <w:r w:rsidRPr="006861C7">
        <w:fldChar w:fldCharType="end"/>
      </w:r>
      <w:r w:rsidRPr="006861C7">
        <w:t>. Furthermore, many primers have never been thoroughly evaluated concerning primer bias and the proportion of undetected taxa, making development and testing of universal primers a pressing issue</w:t>
      </w:r>
      <w:r>
        <w:t>.</w:t>
      </w:r>
    </w:p>
    <w:p w14:paraId="5CFA8DD9" w14:textId="77777777" w:rsidR="00DB41E2" w:rsidRPr="006861C7" w:rsidRDefault="00DB41E2" w:rsidP="00DB41E2">
      <w:pPr>
        <w:pStyle w:val="KeinLeerraum"/>
      </w:pPr>
    </w:p>
    <w:p w14:paraId="13209593" w14:textId="77777777" w:rsidR="00DB41E2" w:rsidRDefault="00DB41E2" w:rsidP="00DB41E2">
      <w:r>
        <w:t>Additionally, d</w:t>
      </w:r>
      <w:r w:rsidRPr="006861C7">
        <w:t xml:space="preserve">etails on primer design and/or used sequence data are often not described extensively (e.g. </w:t>
      </w:r>
      <w:r w:rsidRPr="006861C7">
        <w:fldChar w:fldCharType="begin"/>
      </w:r>
      <w:r>
        <w:instrText xml:space="preserve"> ADDIN PAPERS2_CITATIONS &lt;citation&gt;&lt;uuid&gt;CCE7A4A1-360B-445A-9520-92AF4E9C916B&lt;/uuid&gt;&lt;priority&gt;0&lt;/priority&gt;&lt;publications&gt;&lt;publication&gt;&lt;publication_date&gt;99201100001200000000200000&lt;/publication_date&gt;&lt;title&gt;Environmental Barcoding: A Next-Generation Sequencing Approach for Biomonitoring Applications Using River Benthos&lt;/title&gt;&lt;uuid&gt;8840EA6D-7138-47EA-886B-13FA6B26EBD4&lt;/uuid&gt;&lt;subtype&gt;400&lt;/subtype&gt;&lt;type&gt;400&lt;/type&gt;&lt;citekey&gt;Hajibabaei:2011ug&lt;/citekey&gt;&lt;url&gt;http://dx.plos.org/10.1371/journal.pone.0017497&lt;/url&gt;&lt;bundle&gt;&lt;publication&gt;&lt;url&gt;http://www.plosone.org/&lt;/url&gt;&lt;title&gt;PloS one&lt;/title&gt;&lt;type&gt;-100&lt;/type&gt;&lt;subtype&gt;-100&lt;/subtype&gt;&lt;uuid&gt;1D6F4235-EFEF-4B84-B06B-A3B239622C6C&lt;/uuid&gt;&lt;/publication&gt;&lt;/bundle&gt;&lt;authors&gt;&lt;author&gt;&lt;firstName&gt;Mehrdad&lt;/firstName&gt;&lt;lastName&gt;Hajibabaei&lt;/lastName&gt;&lt;/author&gt;&lt;author&gt;&lt;firstName&gt;S&lt;/firstName&gt;&lt;lastName&gt;Shokralla&lt;/lastName&gt;&lt;/author&gt;&lt;author&gt;&lt;firstName&gt;X&lt;/firstName&gt;&lt;lastName&gt;Zhou&lt;/lastName&gt;&lt;/author&gt;&lt;author&gt;&lt;firstName&gt;GAC&lt;/firstName&gt;&lt;lastName&gt;Singer&lt;/lastName&gt;&lt;/author&gt;&lt;author&gt;&lt;firstName&gt;D&lt;/firstName&gt;&lt;middleNames&gt;J&lt;/middleNames&gt;&lt;lastName&gt;Baird&lt;/lastName&gt;&lt;/author&gt;&lt;/authors&gt;&lt;/publication&gt;&lt;publication&gt;&lt;uuid&gt;07350A96-C1A9-4350-91E4-3B25E41E7567&lt;/uuid&gt;&lt;volume&gt;5&lt;/volume&gt;&lt;accepted_date&gt;99201503161200000000222000&lt;/accepted_date&gt;&lt;doi&gt;10.1038/srep09687&lt;/doi&gt;&lt;startpage&gt;9687&lt;/startpage&gt;&lt;publication_date&gt;99201500001200000000200000&lt;/publication_date&gt;&lt;url&gt;http://www.nature.com/srep/2015/150408/srep09687/full/srep09687.html&lt;/url&gt;&lt;citekey&gt;Shokralla:2015fj&lt;/citekey&gt;&lt;type&gt;400&lt;/type&gt;&lt;title&gt;Massively parallel multiplex DNA sequencing for specimen identification using an Illumina MiSeq platform.&lt;/title&gt;&lt;submission_date&gt;99201501071200000000222000&lt;/submission_date&gt;&lt;institution&gt;Department of Integrative Biology and Biodiversity Institute of Ontario, University of Guelph, 50 Stone Road East, Guelph, ON, Canada N1G 2W1.&lt;/institution&gt;&lt;subtype&gt;400&lt;/subtype&gt;&lt;bundle&gt;&lt;publication&gt;&lt;publisher&gt;Nature Publishing Group&lt;/publisher&gt;&lt;title&gt;Scientific Reports&lt;/title&gt;&lt;type&gt;-100&lt;/type&gt;&lt;subtype&gt;-100&lt;/subtype&gt;&lt;uuid&gt;B7F7CE82-0C6F-4419-952D-DBD4C63E9B6F&lt;/uuid&gt;&lt;/publication&gt;&lt;/bundle&gt;&lt;authors&gt;&lt;author&gt;&lt;firstName&gt;Shadi&lt;/firstName&gt;&lt;lastName&gt;Shokralla&lt;/lastName&gt;&lt;/author&gt;&lt;author&gt;&lt;firstName&gt;Teresita&lt;/firstName&gt;&lt;middleNames&gt;M&lt;/middleNames&gt;&lt;lastName&gt;Porter&lt;/lastName&gt;&lt;/author&gt;&lt;author&gt;&lt;firstName&gt;Joel&lt;/firstName&gt;&lt;middleNames&gt;F&lt;/middleNames&gt;&lt;lastName&gt;Gibson&lt;/lastName&gt;&lt;/author&gt;&lt;author&gt;&lt;firstName&gt;Rafal&lt;/firstName&gt;&lt;lastName&gt;Dobosz&lt;/lastName&gt;&lt;/author&gt;&lt;author&gt;&lt;firstName&gt;Daniel&lt;/firstName&gt;&lt;middleNames&gt;H&lt;/middleNames&gt;&lt;lastName&gt;Janzen&lt;/lastName&gt;&lt;/author&gt;&lt;author&gt;&lt;firstName&gt;Winnie&lt;/firstName&gt;&lt;lastName&gt;Hallwachs&lt;/lastName&gt;&lt;/author&gt;&lt;author&gt;&lt;firstName&gt;G&lt;/firstName&gt;&lt;middleNames&gt;Brian&lt;/middleNames&gt;&lt;lastName&gt;Golding&lt;/lastName&gt;&lt;/author&gt;&lt;author&gt;&lt;firstName&gt;Mehrdad&lt;/firstName&gt;&lt;lastName&gt;Hajibabaei&lt;/lastName&gt;&lt;/author&gt;&lt;/authors&gt;&lt;/publication&gt;&lt;/publications&gt;&lt;cites&gt;&lt;/cites&gt;&lt;/citation&gt;</w:instrText>
      </w:r>
      <w:r w:rsidRPr="006861C7">
        <w:fldChar w:fldCharType="separate"/>
      </w:r>
      <w:r>
        <w:rPr>
          <w:rFonts w:eastAsia="SimSun"/>
          <w:szCs w:val="24"/>
          <w:lang w:val="de-DE"/>
        </w:rPr>
        <w:t>(Hajibabaei et al., 2011; Shokralla et al., 2015)</w:t>
      </w:r>
      <w:r w:rsidRPr="006861C7">
        <w:fldChar w:fldCharType="end"/>
      </w:r>
      <w:r w:rsidRPr="006861C7">
        <w:t xml:space="preserve">. </w:t>
      </w:r>
      <w:r>
        <w:t>Primers are often developed with</w:t>
      </w:r>
      <w:r w:rsidRPr="006861C7">
        <w:t xml:space="preserve"> available reference barcode sequences for the taxonomic target groups are downloaded from NCBI or BOLD and aligned </w:t>
      </w:r>
      <w:r w:rsidRPr="006861C7">
        <w:fldChar w:fldCharType="begin"/>
      </w:r>
      <w:r>
        <w:instrText xml:space="preserve"> ADDIN PAPERS2_CITATIONS &lt;citation&gt;&lt;uuid&gt;4DCDA00D-D19F-469F-BDF1-A2CDA5C174BD&lt;/uuid&gt;&lt;priority&gt;0&lt;/priority&gt;&lt;publications&gt;&lt;publication&gt;&lt;uuid&gt;2F64A506-50EB-4314-9657-9F62D0FF9940&lt;/uuid&gt;&lt;volume&gt;111&lt;/volume&gt;&lt;doi&gt;10.1073/pnas.1406468111&lt;/doi&gt;&lt;startpage&gt;8007&lt;/startpage&gt;&lt;publication_date&gt;99201406031200000000222000&lt;/publication_date&gt;&lt;url&gt;http://www.pnas.org/content/111/22/8007.full&lt;/url&gt;&lt;citekey&gt;Gibson:2014ge&lt;/citekey&gt;&lt;type&gt;400&lt;/type&gt;&lt;title&gt;Simultaneous assessment of the macrobiome and microbiome in a bulk sample of tropical arthropods through DNA metasystematics.&lt;/title&gt;&lt;publisher&gt;National Acad Sciences&lt;/publisher&gt;&lt;institution&gt;Department of Integrative Biology and Biodiversity Institute of Ontario, University of Guelph, Guelph, ON, Canada N1G 2W1;&lt;/institution&gt;&lt;number&gt;22&lt;/number&gt;&lt;subtype&gt;400&lt;/subtype&gt;&lt;endpage&gt;8012&lt;/endpage&gt;&lt;bundle&gt;&lt;publication&gt;&lt;url&gt;http://www.pnas.org/&lt;/url&gt;&lt;title&gt;Proceedings of the National Academy of Sciences&lt;/title&gt;&lt;type&gt;-100&lt;/type&gt;&lt;subtype&gt;-100&lt;/subtype&gt;&lt;uuid&gt;24722CBA-50B9-4F7F-A714-51D9167ECE3A&lt;/uuid&gt;&lt;/publication&gt;&lt;/bundle&gt;&lt;authors&gt;&lt;author&gt;&lt;firstName&gt;Joel&lt;/firstName&gt;&lt;lastName&gt;Gibson&lt;/lastName&gt;&lt;/author&gt;&lt;author&gt;&lt;firstName&gt;Shadi&lt;/firstName&gt;&lt;lastName&gt;Shokralla&lt;/lastName&gt;&lt;/author&gt;&lt;author&gt;&lt;firstName&gt;Teresita&lt;/firstName&gt;&lt;middleNames&gt;M&lt;/middleNames&gt;&lt;lastName&gt;Porter&lt;/lastName&gt;&lt;/author&gt;&lt;author&gt;&lt;firstName&gt;Ian&lt;/firstName&gt;&lt;lastName&gt;King&lt;/lastName&gt;&lt;/author&gt;&lt;author&gt;&lt;nonDroppingParticle&gt;van&lt;/nonDroppingParticle&gt;&lt;firstName&gt;Steven&lt;/firstName&gt;&lt;lastName&gt;Konynenburg&lt;/lastName&gt;&lt;/author&gt;&lt;author&gt;&lt;firstName&gt;Daniel&lt;/firstName&gt;&lt;middleNames&gt;H&lt;/middleNames&gt;&lt;lastName&gt;Janzen&lt;/lastName&gt;&lt;/author&gt;&lt;author&gt;&lt;firstName&gt;Winnie&lt;/firstName&gt;&lt;lastName&gt;Hallwachs&lt;/lastName&gt;&lt;/author&gt;&lt;author&gt;&lt;firstName&gt;Mehrdad&lt;/firstName&gt;&lt;lastName&gt;Hajibabaei&lt;/lastName&gt;&lt;/author&gt;&lt;/authors&gt;&lt;/publication&gt;&lt;publication&gt;&lt;uuid&gt;7A886D58-5994-4CE8-AB54-17E3985E5C4E&lt;/uuid&gt;&lt;volume&gt;11&lt;/volume&gt;&lt;doi&gt;10.1111/j.1755-0998.2010.02920.x&lt;/doi&gt;&lt;subtitle&gt;DNA BARCODING&lt;/subtitle&gt;&lt;startpage&gt;236&lt;/startpage&gt;&lt;publication_date&gt;99201009261200000000222000&lt;/publication_date&gt;&lt;url&gt;http://doi.wiley.com/10.1111/j.1755-0998.2010.02920.x&lt;/url&gt;&lt;citekey&gt;ZEALE:2010gx&lt;/citekey&gt;&lt;type&gt;400&lt;/type&gt;&lt;title&gt;Taxon-specific PCR for DNA barcoding arthropod prey in bat faeces&lt;/title&gt;&lt;publisher&gt;Blackwell Publishing Ltd&lt;/publisher&gt;&lt;number&gt;2&lt;/number&gt;&lt;subtype&gt;400&lt;/subtype&gt;&lt;endpage&gt;244&lt;/endpage&gt;&lt;bundle&gt;&lt;publication&gt;&lt;title&gt;Molecular ecology resources&lt;/title&gt;&lt;type&gt;-100&lt;/type&gt;&lt;subtype&gt;-100&lt;/subtype&gt;&lt;uuid&gt;7CE88982-FDCB-4CC7-8286-36DE0C8F5823&lt;/uuid&gt;&lt;/publication&gt;&lt;/bundle&gt;&lt;authors&gt;&lt;author&gt;&lt;firstName&gt;Matt&lt;/firstName&gt;&lt;middleNames&gt;R K&lt;/middleNames&gt;&lt;lastName&gt;Zeale&lt;/lastName&gt;&lt;/author&gt;&lt;author&gt;&lt;firstName&gt;Roger&lt;/firstName&gt;&lt;middleNames&gt;K&lt;/middleNames&gt;&lt;lastName&gt;Butlin&lt;/lastName&gt;&lt;/author&gt;&lt;author&gt;&lt;firstName&gt;Gary&lt;/firstName&gt;&lt;middleNames&gt;L A&lt;/middleNames&gt;&lt;lastName&gt;Barker&lt;/lastName&gt;&lt;/author&gt;&lt;author&gt;&lt;firstName&gt;David&lt;/firstName&gt;&lt;middleNames&gt;C&lt;/middleNames&gt;&lt;lastName&gt;Lees&lt;/lastName&gt;&lt;/author&gt;&lt;author&gt;&lt;firstName&gt;Gareth&lt;/firstName&gt;&lt;lastName&gt;Jones&lt;/lastName&gt;&lt;/author&gt;&lt;/authors&gt;&lt;/publication&gt;&lt;publication&gt;&lt;uuid&gt;573D77BD-D407-4AE8-A0C2-A5B6C00B1F7A&lt;/uuid&gt;&lt;volume&gt;10&lt;/volume&gt;&lt;accepted_date&gt;99201305231200000000222000&lt;/accepted_date&gt;&lt;doi&gt;10.1186/1742-9994-10-34&lt;/doi&gt;&lt;startpage&gt;1&lt;/startpage&gt;&lt;publication_date&gt;99201306141200000000222000&lt;/publication_date&gt;&lt;url&gt;Frontiers in Zoology&lt;/url&gt;&lt;citekey&gt;Leray:2013fo&lt;/citekey&gt;&lt;type&gt;400&lt;/type&gt;&lt;title&gt;A new versatile primer set targeting a short fragment of the mitochondrial COI region for metabarcoding metazoan diversity: application for characterizing coral reef fish gut contents&lt;/title&gt;&lt;publisher&gt;Frontiers in Zoology&lt;/publisher&gt;&lt;submission_date&gt;99201303141200000000222000&lt;/submission_date&gt;&lt;number&gt;1&lt;/number&gt;&lt;institution&gt;Laboratoire d'Excellence "CORAIL", USR 3278 CRIOBE CNRS-EPHE, CBETM de l'Université de Perpignan, 66860, Perpignan Cedex, France ; Department of Invertebrate Zoology, National Museum of Natural History, Smithsonian Institution, P.O. Box 37012, MRC-163, Washington, DC 20013-7012, USA.&lt;/institution&gt;&lt;subtype&gt;400&lt;/subtype&gt;&lt;endpage&gt;1&lt;/endpage&gt;&lt;bundle&gt;&lt;publication&gt;&lt;publisher&gt;BioMed Central Ltd&lt;/publisher&gt;&lt;title&gt;Frontiers in zoology&lt;/title&gt;&lt;type&gt;-100&lt;/type&gt;&lt;subtype&gt;-100&lt;/subtype&gt;&lt;uuid&gt;45F0FBE0-ECB3-4617-A145-F7A7F3F920FF&lt;/uuid&gt;&lt;/publication&gt;&lt;/bundle&gt;&lt;authors&gt;&lt;author&gt;&lt;firstName&gt;Matthieu&lt;/firstName&gt;&lt;lastName&gt;Leray&lt;/lastName&gt;&lt;/author&gt;&lt;author&gt;&lt;firstName&gt;Joy&lt;/firstName&gt;&lt;middleNames&gt;Y&lt;/middleNames&gt;&lt;lastName&gt;Yang&lt;/lastName&gt;&lt;/author&gt;&lt;author&gt;&lt;firstName&gt;Christopher&lt;/firstName&gt;&lt;middleNames&gt;P&lt;/middleNames&gt;&lt;lastName&gt;Meyer&lt;/lastName&gt;&lt;/author&gt;&lt;author&gt;&lt;firstName&gt;Suzanne&lt;/firstName&gt;&lt;middleNames&gt;C&lt;/middleNames&gt;&lt;lastName&gt;Mills&lt;/lastName&gt;&lt;/author&gt;&lt;author&gt;&lt;firstName&gt;Natalia&lt;/firstName&gt;&lt;lastName&gt;Agudelo&lt;/lastName&gt;&lt;/author&gt;&lt;author&gt;&lt;firstName&gt;Vincent&lt;/firstName&gt;&lt;lastName&gt;Ranwez&lt;/lastName&gt;&lt;/author&gt;&lt;author&gt;&lt;firstName&gt;Joel&lt;/firstName&gt;&lt;middleNames&gt;T&lt;/middleNames&gt;&lt;lastName&gt;Boehm&lt;/lastName&gt;&lt;/author&gt;&lt;author&gt;&lt;firstName&gt;Ryuji&lt;/firstName&gt;&lt;middleNames&gt;J&lt;/middleNames&gt;&lt;lastName&gt;Machida&lt;/lastName&gt;&lt;/author&gt;&lt;/authors&gt;&lt;/publication&gt;&lt;/publications&gt;&lt;cites&gt;&lt;/cites&gt;&lt;/citation&gt;</w:instrText>
      </w:r>
      <w:r w:rsidRPr="006861C7">
        <w:fldChar w:fldCharType="separate"/>
      </w:r>
      <w:r>
        <w:rPr>
          <w:rFonts w:eastAsia="SimSun"/>
          <w:szCs w:val="24"/>
          <w:lang w:val="de-DE"/>
        </w:rPr>
        <w:t>(Gibson et al., 2014; Leray et al., 2013; Zeale et al., 2010)</w:t>
      </w:r>
      <w:r w:rsidRPr="006861C7">
        <w:fldChar w:fldCharType="end"/>
      </w:r>
      <w:r w:rsidRPr="006861C7">
        <w:t xml:space="preserve"> or alternatively only mitochondrial genomes or a small subset of barcoding sequences are used </w:t>
      </w:r>
      <w:r w:rsidRPr="006861C7">
        <w:fldChar w:fldCharType="begin"/>
      </w:r>
      <w:r>
        <w:instrText xml:space="preserve"> ADDIN PAPERS2_CITATIONS &lt;citation&gt;&lt;uuid&gt;C65398C4-8918-46C7-90FB-46DD51DC7149&lt;/uuid&gt;&lt;priority&gt;0&lt;/priority&gt;&lt;publications&gt;&lt;publication&gt;&lt;uuid&gt;E1E3B435-02AE-4EDE-AF00-932B2E28ABD8&lt;/uuid&gt;&lt;volume&gt;105&lt;/volume&gt;&lt;doi&gt;10.1017/S0007485315000681&lt;/doi&gt;&lt;startpage&gt;717&lt;/startpage&gt;&lt;publication_date&gt;99201509071200000000222000&lt;/publication_date&gt;&lt;url&gt;http://www.journals.cambridge.org/abstract_S0007485315000681&lt;/url&gt;&lt;citekey&gt;BrandonMong:2015gx&lt;/citekey&gt;&lt;type&gt;400&lt;/type&gt;&lt;title&gt;DNA metabarcoding of insects and allies: an evaluation of primers and pipelines&lt;/title&gt;&lt;publisher&gt;Cambridge University Press&lt;/publisher&gt;&lt;number&gt;06&lt;/number&gt;&lt;subtype&gt;400&lt;/subtype&gt;&lt;endpage&gt;727&lt;/endpage&gt;&lt;bundle&gt;&lt;publication&gt;&lt;title&gt;Bulletin of Entomological Research&lt;/title&gt;&lt;type&gt;-100&lt;/type&gt;&lt;subtype&gt;-100&lt;/subtype&gt;&lt;uuid&gt;D247E74D-A9DF-4125-A12C-917C4232E83C&lt;/uuid&gt;&lt;/publication&gt;&lt;/bundle&gt;&lt;authors&gt;&lt;author&gt;&lt;firstName&gt;G&lt;/firstName&gt;&lt;middleNames&gt;J&lt;/middleNames&gt;&lt;lastName&gt;Brandon-Mong&lt;/lastName&gt;&lt;/author&gt;&lt;author&gt;&lt;firstName&gt;H&lt;/firstName&gt;&lt;middleNames&gt;M&lt;/middleNames&gt;&lt;lastName&gt;Gan&lt;/lastName&gt;&lt;/author&gt;&lt;author&gt;&lt;firstName&gt;K&lt;/firstName&gt;&lt;middleNames&gt;W&lt;/middleNames&gt;&lt;lastName&gt;Sing&lt;/lastName&gt;&lt;/author&gt;&lt;author&gt;&lt;firstName&gt;P&lt;/firstName&gt;&lt;middleNames&gt;S&lt;/middleNames&gt;&lt;lastName&gt;Lee&lt;/lastName&gt;&lt;/author&gt;&lt;author&gt;&lt;firstName&gt;P&lt;/firstName&gt;&lt;middleNames&gt;E&lt;/middleNames&gt;&lt;lastName&gt;Lim&lt;/lastName&gt;&lt;/author&gt;&lt;author&gt;&lt;firstName&gt;J&lt;/firstName&gt;&lt;middleNames&gt;J&lt;/middleNames&gt;&lt;lastName&gt;Wilson&lt;/lastName&gt;&lt;/author&gt;&lt;/authors&gt;&lt;/publication&gt;&lt;publication&gt;&lt;uuid&gt;B5018827-4F94-4BD9-BF87-D6B167B8F74B&lt;/uuid&gt;&lt;volume&gt;10&lt;/volume&gt;&lt;doi&gt;10.1098/rsbl.2014.0562&lt;/doi&gt;&lt;startpage&gt;20140562&lt;/startpage&gt;&lt;publication_date&gt;99201409001200000000220000&lt;/publication_date&gt;&lt;url&gt;http://rsbl.royalsocietypublishing.org/cgi/doi/10.1098/rsbl.2014.0562&lt;/url&gt;&lt;citekey&gt;Deagle:2014eu&lt;/citekey&gt;&lt;type&gt;400&lt;/type&gt;&lt;title&gt;DNA metabarcoding and the cytochrome c oxidase subunit I marker: not a perfect match.&lt;/title&gt;&lt;publisher&gt;The Royal Society&lt;/publisher&gt;&lt;institution&gt;203, Channel Highway, Kingston, Tasmania, Australia bruce.deagle@aad.gov.au.&lt;/institution&gt;&lt;number&gt;9&lt;/number&gt;&lt;subtype&gt;400&lt;/subtype&gt;&lt;endpage&gt;20140562&lt;/endpage&gt;&lt;bundle&gt;&lt;publication&gt;&lt;title&gt;Biology Letters&lt;/title&gt;&lt;type&gt;-100&lt;/type&gt;&lt;subtype&gt;-100&lt;/subtype&gt;&lt;uuid&gt;31B113CA-E4EE-442C-ABBB-90F55AAB0A90&lt;/uuid&gt;&lt;/publication&gt;&lt;/bundle&gt;&lt;authors&gt;&lt;author&gt;&lt;firstName&gt;Bruce&lt;/firstName&gt;&lt;middleNames&gt;E&lt;/middleNames&gt;&lt;lastName&gt;Deagle&lt;/lastName&gt;&lt;/author&gt;&lt;author&gt;&lt;firstName&gt;Simon&lt;/firstName&gt;&lt;middleNames&gt;N&lt;/middleNames&gt;&lt;lastName&gt;Jarman&lt;/lastName&gt;&lt;/author&gt;&lt;author&gt;&lt;firstName&gt;Eric&lt;/firstName&gt;&lt;lastName&gt;Coissac&lt;/lastName&gt;&lt;/author&gt;&lt;author&gt;&lt;firstName&gt;François&lt;/firstName&gt;&lt;lastName&gt;Pompanon&lt;/lastName&gt;&lt;/author&gt;&lt;author&gt;&lt;firstName&gt;Pierre&lt;/firstName&gt;&lt;lastName&gt;Taberlet&lt;/lastName&gt;&lt;/author&gt;&lt;/authors&gt;&lt;/publication&gt;&lt;publication&gt;&lt;uuid&gt;350DEA3B-F23E-4A91-A1B8-C741343E3054&lt;/uuid&gt;&lt;volume&gt;13&lt;/volume&gt;&lt;doi&gt;10.1111/1755-0998.12138&lt;/doi&gt;&lt;startpage&gt;851&lt;/startpage&gt;&lt;publication_date&gt;99201307131200000000222000&lt;/publication_date&gt;&lt;url&gt;http://doi.wiley.com/10.1111/1755-0998.12138&lt;/url&gt;&lt;citekey&gt;Geller:2013ka&lt;/citekey&gt;&lt;type&gt;400&lt;/type&gt;&lt;title&gt;Redesign of PCR primers for mitochondrial cytochrome coxidase subunit I for marine invertebrates and application in all-taxa biotic surveys&lt;/title&gt;&lt;number&gt;5&lt;/number&gt;&lt;subtype&gt;400&lt;/subtype&gt;&lt;endpage&gt;861&lt;/endpage&gt;&lt;bundle&gt;&lt;publication&gt;&lt;title&gt;Molecular ecology resources&lt;/title&gt;&lt;type&gt;-100&lt;/type&gt;&lt;subtype&gt;-100&lt;/subtype&gt;&lt;uuid&gt;7CE88982-FDCB-4CC7-8286-36DE0C8F5823&lt;/uuid&gt;&lt;/publication&gt;&lt;/bundle&gt;&lt;authors&gt;&lt;author&gt;&lt;firstName&gt;J&lt;/firstName&gt;&lt;lastName&gt;Geller&lt;/lastName&gt;&lt;/author&gt;&lt;author&gt;&lt;firstName&gt;C&lt;/firstName&gt;&lt;lastName&gt;Meyer&lt;/lastName&gt;&lt;/author&gt;&lt;author&gt;&lt;firstName&gt;M&lt;/firstName&gt;&lt;lastName&gt;Parker&lt;/lastName&gt;&lt;/author&gt;&lt;author&gt;&lt;firstName&gt;H&lt;/firstName&gt;&lt;lastName&gt;Hawk&lt;/lastName&gt;&lt;/author&gt;&lt;/authors&gt;&lt;/publication&gt;&lt;/publications&gt;&lt;cites&gt;&lt;/cites&gt;&lt;/citation&gt;</w:instrText>
      </w:r>
      <w:r w:rsidRPr="006861C7">
        <w:fldChar w:fldCharType="separate"/>
      </w:r>
      <w:r>
        <w:rPr>
          <w:rFonts w:eastAsia="SimSun"/>
          <w:szCs w:val="24"/>
          <w:lang w:val="de-DE"/>
        </w:rPr>
        <w:t>(Brandon-Mong et al., 2015; Deagle et al., 2014; Geller et al., 2013)</w:t>
      </w:r>
      <w:r w:rsidRPr="006861C7">
        <w:fldChar w:fldCharType="end"/>
      </w:r>
      <w:r w:rsidRPr="006861C7">
        <w:t xml:space="preserve">. </w:t>
      </w:r>
      <w:r>
        <w:t>These two approaches can be biased, as sequences for certain taxa will be overrepresented in big datasets (e.g. from population genetic studies), while only mitochondrial genome datasets might be insufficient.</w:t>
      </w:r>
      <w:r>
        <w:br/>
      </w:r>
      <w:r>
        <w:br/>
        <w:t xml:space="preserve">To explore these primer development problems, we used the recently developed R package </w:t>
      </w:r>
      <w:proofErr w:type="spellStart"/>
      <w:r>
        <w:t>PrimerMiner</w:t>
      </w:r>
      <w:proofErr w:type="spellEnd"/>
      <w:r>
        <w:t xml:space="preserve"> to explore the suitability of existing primers for freshwater invertebrate </w:t>
      </w:r>
      <w:proofErr w:type="spellStart"/>
      <w:r>
        <w:t>metabarcoding</w:t>
      </w:r>
      <w:proofErr w:type="spellEnd"/>
      <w:r>
        <w:t xml:space="preserve"> using </w:t>
      </w:r>
      <w:r w:rsidRPr="00E15C7A">
        <w:rPr>
          <w:i/>
        </w:rPr>
        <w:t xml:space="preserve">in </w:t>
      </w:r>
      <w:proofErr w:type="spellStart"/>
      <w:r w:rsidRPr="00E15C7A">
        <w:rPr>
          <w:i/>
        </w:rPr>
        <w:t>silico</w:t>
      </w:r>
      <w:proofErr w:type="spellEnd"/>
      <w:r>
        <w:t xml:space="preserve"> evaluations. We further developed our own </w:t>
      </w:r>
      <w:proofErr w:type="spellStart"/>
      <w:r>
        <w:t>optimised</w:t>
      </w:r>
      <w:proofErr w:type="spellEnd"/>
      <w:r>
        <w:t xml:space="preserve"> </w:t>
      </w:r>
      <w:r w:rsidRPr="006861C7">
        <w:t>primer sets</w:t>
      </w:r>
      <w:r>
        <w:t>, which we used to amplify</w:t>
      </w:r>
      <w:r w:rsidRPr="006861C7">
        <w:t xml:space="preserve"> ten mock communities which have been used for primer evaluation in previous studies (Elbrecht &amp; </w:t>
      </w:r>
      <w:proofErr w:type="spellStart"/>
      <w:r w:rsidRPr="006861C7">
        <w:t>Leese</w:t>
      </w:r>
      <w:proofErr w:type="spellEnd"/>
      <w:r w:rsidRPr="006861C7">
        <w:t xml:space="preserve"> 2015; Elbrecht et al. 2016) each containing 52 freshwater invertebrate taxa.</w:t>
      </w:r>
    </w:p>
    <w:p w14:paraId="6416F6C7" w14:textId="77777777" w:rsidR="00DB41E2" w:rsidRPr="00DB41E2" w:rsidRDefault="00DB41E2" w:rsidP="00DB41E2">
      <w:pPr>
        <w:pStyle w:val="berschrift1"/>
      </w:pPr>
      <w:r w:rsidRPr="006861C7">
        <w:t>Material and Methods</w:t>
      </w:r>
    </w:p>
    <w:p w14:paraId="600609FB" w14:textId="77777777" w:rsidR="00DB41E2" w:rsidRPr="00544B28" w:rsidRDefault="00DB41E2" w:rsidP="00DB41E2">
      <w:pPr>
        <w:pStyle w:val="berschrift2"/>
      </w:pPr>
      <w:r w:rsidRPr="006861C7">
        <w:t xml:space="preserve">Primer development </w:t>
      </w:r>
      <w:r>
        <w:t xml:space="preserve">and </w:t>
      </w:r>
      <w:r w:rsidRPr="00561C86">
        <w:rPr>
          <w:i/>
        </w:rPr>
        <w:t xml:space="preserve">in </w:t>
      </w:r>
      <w:proofErr w:type="spellStart"/>
      <w:r w:rsidRPr="00561C86">
        <w:rPr>
          <w:i/>
        </w:rPr>
        <w:t>silico</w:t>
      </w:r>
      <w:proofErr w:type="spellEnd"/>
      <w:r>
        <w:t xml:space="preserve"> evaluation</w:t>
      </w:r>
    </w:p>
    <w:p w14:paraId="62B9CC48" w14:textId="77777777" w:rsidR="00DB41E2" w:rsidRDefault="00DB41E2" w:rsidP="00DB41E2">
      <w:r w:rsidRPr="006861C7">
        <w:t xml:space="preserve">The </w:t>
      </w:r>
      <w:proofErr w:type="spellStart"/>
      <w:r w:rsidRPr="006861C7">
        <w:t>PrimerMiner</w:t>
      </w:r>
      <w:proofErr w:type="spellEnd"/>
      <w:r w:rsidRPr="006861C7">
        <w:t xml:space="preserve"> package v0.</w:t>
      </w:r>
      <w:r>
        <w:t>7</w:t>
      </w:r>
      <w:r w:rsidRPr="006861C7">
        <w:t xml:space="preserve"> was used to download COI and cluster sequences for the 15 most relevant freshwater invertebrate groups for biodiversity assessment (Accessed </w:t>
      </w:r>
      <w:r>
        <w:t>September</w:t>
      </w:r>
      <w:r w:rsidRPr="006861C7">
        <w:t xml:space="preserve"> 201</w:t>
      </w:r>
      <w:r>
        <w:t>6</w:t>
      </w:r>
      <w:r w:rsidRPr="006861C7">
        <w:t>, table S2</w:t>
      </w:r>
      <w:r>
        <w:t xml:space="preserve">, </w:t>
      </w:r>
      <w:r>
        <w:fldChar w:fldCharType="begin"/>
      </w:r>
      <w:r>
        <w:instrText xml:space="preserve"> ADDIN PAPERS2_CITATIONS &lt;citation&gt;&lt;uuid&gt;E4AE1796-DD0D-4D95-9992-D43DD34D91B2&lt;/uuid&gt;&lt;priority&gt;0&lt;/priority&gt;&lt;publications&gt;&lt;publication&gt;&lt;publication_date&gt;99201608151200000000222000&lt;/publication_date&gt;&lt;doi&gt;10.7287/peerj.preprints.2352v1&lt;/doi&gt;&lt;title&gt;PrimerMiner: an R package for development and in silico validation of DNA metabarcoding primers&lt;/title&gt;&lt;uuid&gt;FA651055-D778-4ECF-BB8B-74A5517FD874&lt;/uuid&gt;&lt;subtype&gt;400&lt;/subtype&gt;&lt;publisher&gt;PeerJ Inc.&lt;/publisher&gt;&lt;type&gt;400&lt;/type&gt;&lt;url&gt;https://peerj.com/preprints/2352&lt;/url&gt;&lt;bundle&gt;&lt;publication&gt;&lt;title&gt;PeeJ Preprints&lt;/title&gt;&lt;type&gt;-100&lt;/type&gt;&lt;subtype&gt;-100&lt;/subtype&gt;&lt;uuid&gt;70BAEBB1-8AAF-4D9E-A386-4272DF5A02EC&lt;/uuid&gt;&lt;/publication&gt;&lt;/bundle&gt;&lt;authors&gt;&lt;author&gt;&lt;firstName&gt;Vasco&lt;/firstName&gt;&lt;lastName&gt;Elbrecht&lt;/lastName&gt;&lt;/author&gt;&lt;author&gt;&lt;firstName&gt;Florian&lt;/firstName&gt;&lt;lastName&gt;Leese&lt;/lastName&gt;&lt;/author&gt;&lt;/authors&gt;&lt;/publication&gt;&lt;/publications&gt;&lt;cites&gt;&lt;/cites&gt;&lt;/citation&gt;</w:instrText>
      </w:r>
      <w:r>
        <w:fldChar w:fldCharType="separate"/>
      </w:r>
      <w:r>
        <w:rPr>
          <w:rFonts w:eastAsia="SimSun"/>
          <w:szCs w:val="24"/>
          <w:lang w:val="de-DE"/>
        </w:rPr>
        <w:t>(Elbrecht and Leese, 2016)</w:t>
      </w:r>
      <w:r>
        <w:fldChar w:fldCharType="end"/>
      </w:r>
      <w:r w:rsidRPr="006861C7">
        <w:t xml:space="preserve">). Sequences were aligned with MAFFT v7.017 </w:t>
      </w:r>
      <w:r w:rsidRPr="006861C7">
        <w:fldChar w:fldCharType="begin"/>
      </w:r>
      <w:r>
        <w:instrText xml:space="preserve"> ADDIN PAPERS2_CITATIONS &lt;citation&gt;&lt;uuid&gt;E05376A4-26B7-45F1-BB89-ABD686F1720E&lt;/uuid&gt;&lt;priority&gt;0&lt;/priority&gt;&lt;publications&gt;&lt;publication&gt;&lt;uuid&gt;BD1A0C2B-DED6-41A1-925F-17C46502AA55&lt;/uuid&gt;&lt;volume&gt;30&lt;/volume&gt;&lt;startpage&gt;3059&lt;/startpage&gt;&lt;publication_date&gt;99200207151200000000222000&lt;/publication_date&gt;&lt;url&gt;http://eutils.ncbi.nlm.nih.gov/entrez/eutils/elink.fcgi?dbfrom=pubmed&amp;amp;id=12136088&amp;amp;retmode=ref&amp;amp;cmd=prlinks&lt;/url&gt;&lt;citekey&gt;Katoh:2002vc&lt;/citekey&gt;&lt;type&gt;400&lt;/type&gt;&lt;title&gt;MAFFT: a novel method for rapid multiple sequence alignment based on fast Fourier transform.&lt;/title&gt;&lt;location&gt;200,5,35.0305180,135.7836835&lt;/location&gt;&lt;institution&gt;Department of Biophysics, Graduate School of Science, Kyoto University, Kyoto 606-8502, Japan.&lt;/institution&gt;&lt;number&gt;14&lt;/number&gt;&lt;subtype&gt;400&lt;/subtype&gt;&lt;endpage&gt;3066&lt;/endpage&gt;&lt;bundle&gt;&lt;publication&gt;&lt;title&gt;Nucleic acids research&lt;/title&gt;&lt;type&gt;-100&lt;/type&gt;&lt;subtype&gt;-100&lt;/subtype&gt;&lt;uuid&gt;3656593F-D6A3-4D45-825B-55E0D44E62F7&lt;/uuid&gt;&lt;/publication&gt;&lt;/bundle&gt;&lt;authors&gt;&lt;author&gt;&lt;firstName&gt;Kazutaka&lt;/firstName&gt;&lt;lastName&gt;Katoh&lt;/lastName&gt;&lt;/author&gt;&lt;author&gt;&lt;firstName&gt;Kazuharu&lt;/firstName&gt;&lt;lastName&gt;Misawa&lt;/lastName&gt;&lt;/author&gt;&lt;author&gt;&lt;firstName&gt;Kei-ichi&lt;/firstName&gt;&lt;lastName&gt;Kuma&lt;/lastName&gt;&lt;/author&gt;&lt;author&gt;&lt;firstName&gt;Takashi&lt;/firstName&gt;&lt;lastName&gt;Miyata&lt;/lastName&gt;&lt;/author&gt;&lt;/authors&gt;&lt;/publication&gt;&lt;/publications&gt;&lt;cites&gt;&lt;/cites&gt;&lt;/citation&gt;</w:instrText>
      </w:r>
      <w:r w:rsidRPr="006861C7">
        <w:fldChar w:fldCharType="separate"/>
      </w:r>
      <w:r>
        <w:rPr>
          <w:rFonts w:eastAsia="SimSun"/>
          <w:szCs w:val="24"/>
          <w:lang w:val="de-DE"/>
        </w:rPr>
        <w:t>(Katoh et al., 2002)</w:t>
      </w:r>
      <w:r w:rsidRPr="006861C7">
        <w:fldChar w:fldCharType="end"/>
      </w:r>
      <w:r w:rsidRPr="006861C7">
        <w:t xml:space="preserve"> as implemented in </w:t>
      </w:r>
      <w:proofErr w:type="spellStart"/>
      <w:r w:rsidRPr="006861C7">
        <w:t>Geneious</w:t>
      </w:r>
      <w:proofErr w:type="spellEnd"/>
      <w:r w:rsidRPr="006861C7">
        <w:t xml:space="preserve"> 8.1.7 </w:t>
      </w:r>
      <w:r w:rsidRPr="006861C7">
        <w:fldChar w:fldCharType="begin"/>
      </w:r>
      <w:r>
        <w:instrText xml:space="preserve"> ADDIN PAPERS2_CITATIONS &lt;citation&gt;&lt;uuid&gt;D2E109E1-AAB3-4591-A33C-29446BA047EE&lt;/uuid&gt;&lt;priority&gt;0&lt;/priority&gt;&lt;publications&gt;&lt;publication&gt;&lt;uuid&gt;5D2EA040-74E0-4700-8CFE-11859C109D09&lt;/uuid&gt;&lt;volume&gt;28&lt;/volume&gt;&lt;doi&gt;10.1093/bioinformatics/bts199&lt;/doi&gt;&lt;startpage&gt;1647&lt;/startpage&gt;&lt;publication_date&gt;99201206111200000000222000&lt;/publication_date&gt;&lt;url&gt;http://bioinformatics.oxfordjournals.org/cgi/doi/10.1093/bioinformatics/bts199&lt;/url&gt;&lt;citekey&gt;Kearse:2012dk&lt;/citekey&gt;&lt;type&gt;400&lt;/type&gt;&lt;title&gt;Geneious Basic: An integrated and extendable desktop software platform for the organization and analysis of sequence data&lt;/title&gt;&lt;number&gt;12&lt;/number&gt;&lt;subtype&gt;400&lt;/subtype&gt;&lt;endpage&gt;1649&lt;/endpage&gt;&lt;bundle&gt;&lt;publication&gt;&lt;title&gt;Bioinformatics&lt;/title&gt;&lt;type&gt;-100&lt;/type&gt;&lt;subtype&gt;-100&lt;/subtype&gt;&lt;uuid&gt;2E33798A-BA63-4400-BA48-474B55D4AEFF&lt;/uuid&gt;&lt;/publication&gt;&lt;/bundle&gt;&lt;authors&gt;&lt;author&gt;&lt;firstName&gt;M&lt;/firstName&gt;&lt;lastName&gt;Kearse&lt;/lastName&gt;&lt;/author&gt;&lt;author&gt;&lt;firstName&gt;R&lt;/firstName&gt;&lt;lastName&gt;Moir&lt;/lastName&gt;&lt;/author&gt;&lt;author&gt;&lt;firstName&gt;A&lt;/firstName&gt;&lt;lastName&gt;Wilson&lt;/lastName&gt;&lt;/author&gt;&lt;author&gt;&lt;firstName&gt;S&lt;/firstName&gt;&lt;lastName&gt;Stones-Havas&lt;/lastName&gt;&lt;/author&gt;&lt;author&gt;&lt;firstName&gt;M&lt;/firstName&gt;&lt;lastName&gt;Cheung&lt;/lastName&gt;&lt;/author&gt;&lt;author&gt;&lt;firstName&gt;S&lt;/firstName&gt;&lt;lastName&gt;Sturrock&lt;/lastName&gt;&lt;/author&gt;&lt;author&gt;&lt;firstName&gt;S&lt;/firstName&gt;&lt;lastName&gt;Buxton&lt;/lastName&gt;&lt;/author&gt;&lt;author&gt;&lt;firstName&gt;A&lt;/firstName&gt;&lt;lastName&gt;Cooper&lt;/lastName&gt;&lt;/author&gt;&lt;author&gt;&lt;firstName&gt;S&lt;/firstName&gt;&lt;lastName&gt;Markowitz&lt;/lastName&gt;&lt;/author&gt;&lt;author&gt;&lt;firstName&gt;C&lt;/firstName&gt;&lt;lastName&gt;Duran&lt;/lastName&gt;&lt;/author&gt;&lt;author&gt;&lt;firstName&gt;T&lt;/firstName&gt;&lt;lastName&gt;Thierer&lt;/lastName&gt;&lt;/author&gt;&lt;author&gt;&lt;firstName&gt;B&lt;/firstName&gt;&lt;lastName&gt;Ashton&lt;/lastName&gt;&lt;/author&gt;&lt;author&gt;&lt;firstName&gt;P&lt;/firstName&gt;&lt;lastName&gt;Meintjes&lt;/lastName&gt;&lt;/author&gt;&lt;author&gt;&lt;firstName&gt;A&lt;/firstName&gt;&lt;lastName&gt;Drummond&lt;/lastName&gt;&lt;/author&gt;&lt;/authors&gt;&lt;/publication&gt;&lt;/publications&gt;&lt;cites&gt;&lt;/cites&gt;&lt;/citation&gt;</w:instrText>
      </w:r>
      <w:r w:rsidRPr="006861C7">
        <w:fldChar w:fldCharType="separate"/>
      </w:r>
      <w:r>
        <w:rPr>
          <w:rFonts w:eastAsia="SimSun"/>
          <w:szCs w:val="24"/>
          <w:lang w:val="de-DE"/>
        </w:rPr>
        <w:t>(Kearse et al., 2012)</w:t>
      </w:r>
      <w:r w:rsidRPr="006861C7">
        <w:fldChar w:fldCharType="end"/>
      </w:r>
      <w:r>
        <w:t xml:space="preserve">. 26 </w:t>
      </w:r>
      <w:proofErr w:type="spellStart"/>
      <w:r>
        <w:t>bp</w:t>
      </w:r>
      <w:proofErr w:type="spellEnd"/>
      <w:r>
        <w:t xml:space="preserve"> in the HCO and 25 </w:t>
      </w:r>
      <w:proofErr w:type="spellStart"/>
      <w:r>
        <w:t>bp</w:t>
      </w:r>
      <w:proofErr w:type="spellEnd"/>
      <w:r>
        <w:t xml:space="preserve"> in the LCO region were selectively trimmed using the "</w:t>
      </w:r>
      <w:proofErr w:type="spellStart"/>
      <w:r w:rsidRPr="001D5066">
        <w:t>selectivetrim</w:t>
      </w:r>
      <w:proofErr w:type="spellEnd"/>
      <w:r>
        <w:t xml:space="preserve">" function </w:t>
      </w:r>
      <w:r w:rsidRPr="006861C7">
        <w:t xml:space="preserve">and the alignment for each group was visualized with </w:t>
      </w:r>
      <w:proofErr w:type="spellStart"/>
      <w:r w:rsidRPr="006861C7">
        <w:t>PrimerMiner</w:t>
      </w:r>
      <w:proofErr w:type="spellEnd"/>
      <w:r w:rsidRPr="006861C7">
        <w:t xml:space="preserve"> to manually identify suitable primer binding sites. Two forward (BF1, BF2) and two reverse primers (BR1, BR2) were developed with high base degeneracy. Fusion primers were generated by adding </w:t>
      </w:r>
      <w:proofErr w:type="spellStart"/>
      <w:r w:rsidRPr="006861C7">
        <w:t>Illumina</w:t>
      </w:r>
      <w:proofErr w:type="spellEnd"/>
      <w:r w:rsidRPr="006861C7">
        <w:t xml:space="preserve"> adapters and inline barcodes as described in </w:t>
      </w:r>
      <w:r w:rsidRPr="006861C7">
        <w:fldChar w:fldCharType="begin"/>
      </w:r>
      <w:r>
        <w:instrText xml:space="preserve"> ADDIN PAPERS2_CITATIONS &lt;citation&gt;&lt;uuid&gt;7C6F269E-0748-48A6-8E27-CDDCA310E4DA&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Pr="006861C7">
        <w:fldChar w:fldCharType="separate"/>
      </w:r>
      <w:r>
        <w:rPr>
          <w:rFonts w:eastAsia="SimSun"/>
          <w:szCs w:val="24"/>
          <w:lang w:val="de-DE"/>
        </w:rPr>
        <w:t>(Elbrecht and Leese, 2015)</w:t>
      </w:r>
      <w:r w:rsidRPr="006861C7">
        <w:fldChar w:fldCharType="end"/>
      </w:r>
      <w:r w:rsidRPr="006861C7">
        <w:t xml:space="preserve"> to increase sequence diversity</w:t>
      </w:r>
      <w:r>
        <w:t xml:space="preserve"> while sequencing</w:t>
      </w:r>
      <w:r w:rsidRPr="006861C7">
        <w:t xml:space="preserve"> and allow for a one step PCR protocol.</w:t>
      </w:r>
    </w:p>
    <w:p w14:paraId="0CDEC7CB" w14:textId="77777777" w:rsidR="00DB41E2" w:rsidRPr="006861C7" w:rsidRDefault="00DB41E2" w:rsidP="00DB41E2">
      <w:pPr>
        <w:pStyle w:val="KeinLeerraum"/>
      </w:pPr>
      <w:proofErr w:type="spellStart"/>
      <w:r w:rsidRPr="006861C7">
        <w:t>PrimerMiner</w:t>
      </w:r>
      <w:proofErr w:type="spellEnd"/>
      <w:r>
        <w:t xml:space="preserve"> was also used to evaluate all primers shown in Figure 1 against alignments of the 15 freshwater invertebrate groups, using the default</w:t>
      </w:r>
      <w:r w:rsidRPr="00C978E2">
        <w:t xml:space="preserve"> </w:t>
      </w:r>
      <w:r>
        <w:t>"</w:t>
      </w:r>
      <w:r w:rsidRPr="00C978E2">
        <w:t>Position_v1.csv</w:t>
      </w:r>
      <w:r>
        <w:t>"</w:t>
      </w:r>
      <w:r w:rsidRPr="00C978E2">
        <w:t xml:space="preserve"> and </w:t>
      </w:r>
      <w:r>
        <w:t>"</w:t>
      </w:r>
      <w:r w:rsidRPr="00C978E2">
        <w:t>Type_v1.csv</w:t>
      </w:r>
      <w:r>
        <w:t>"</w:t>
      </w:r>
      <w:r w:rsidRPr="00C978E2">
        <w:t xml:space="preserve"> table</w:t>
      </w:r>
      <w:r>
        <w:t xml:space="preserve"> for mismatch scoring (tables are included in the </w:t>
      </w:r>
      <w:proofErr w:type="spellStart"/>
      <w:r>
        <w:t>PrimerMiner</w:t>
      </w:r>
      <w:proofErr w:type="spellEnd"/>
      <w:r>
        <w:t xml:space="preserve"> example data). Primers matching with a penalty score of above 120 where considered not working.</w:t>
      </w:r>
    </w:p>
    <w:p w14:paraId="59A35DDC" w14:textId="77777777" w:rsidR="00DB41E2" w:rsidRPr="006861C7" w:rsidRDefault="00DB41E2" w:rsidP="00DB41E2">
      <w:pPr>
        <w:pStyle w:val="berschrift2"/>
      </w:pPr>
      <w:r w:rsidRPr="006861C7">
        <w:t xml:space="preserve">Testing of DNA </w:t>
      </w:r>
      <w:proofErr w:type="spellStart"/>
      <w:r w:rsidRPr="006861C7">
        <w:t>metabarcoding</w:t>
      </w:r>
      <w:proofErr w:type="spellEnd"/>
      <w:r w:rsidRPr="006861C7">
        <w:t xml:space="preserve"> primers on mock communities</w:t>
      </w:r>
    </w:p>
    <w:p w14:paraId="6B5493B7" w14:textId="77777777" w:rsidR="00DB41E2" w:rsidRDefault="00DB41E2" w:rsidP="00DB41E2">
      <w:pPr>
        <w:pStyle w:val="KeinLeerraum"/>
        <w:rPr>
          <w:rFonts w:cs="Arial"/>
        </w:rPr>
      </w:pPr>
      <w:r w:rsidRPr="006861C7">
        <w:t xml:space="preserve">Amplification success of the BF / BR primers was evaluated using ten mock communities, each containing a set of 52 freshwater invertebrates used in previous studies </w:t>
      </w:r>
      <w:r w:rsidRPr="006861C7">
        <w:fldChar w:fldCharType="begin"/>
      </w:r>
      <w:r>
        <w:instrText xml:space="preserve"> ADDIN PAPERS2_CITATIONS &lt;citation&gt;&lt;uuid&gt;7C3B1208-E9FE-4E3C-BF98-EF0CA3E61110&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uuid&gt;D0DC0C18-B72D-4F3C-8354-44EC702E46B7&lt;/uuid&gt;&lt;volume&gt;4&lt;/volume&gt;&lt;doi&gt;10.7717/peerj.1966&lt;/doi&gt;&lt;startpage&gt;e1966&lt;/startpage&gt;&lt;publication_date&gt;99201600001200000000200000&lt;/publication_date&gt;&lt;url&gt;https://peerj.com/articles/1966&lt;/url&gt;&lt;type&gt;400&lt;/type&gt;&lt;title&gt;Testing the potential of a ribosomal 16S marker for DNA metabarcoding of insects&lt;/title&gt;&lt;publisher&gt;PeerJ Inc.&lt;/publisher&gt;&lt;number&gt;4&lt;/number&gt;&lt;subtype&gt;400&lt;/subtype&gt;&lt;endpage&gt;12&lt;/endpage&gt;&lt;bundle&gt;&lt;publication&gt;&lt;title&gt;PeerJ&lt;/title&gt;&lt;type&gt;-100&lt;/type&gt;&lt;subtype&gt;-100&lt;/subtype&gt;&lt;uuid&gt;5EBA4B9F-B369-4753-B381-FDCC83951E9F&lt;/uuid&gt;&lt;/publication&gt;&lt;/bundle&gt;&lt;authors&gt;&lt;author&gt;&lt;firstName&gt;Vasco&lt;/firstName&gt;&lt;lastName&gt;Elbrecht&lt;/lastName&gt;&lt;/author&gt;&lt;author&gt;&lt;firstName&gt;Pierre&lt;/firstName&gt;&lt;lastName&gt;Taberlet&lt;/lastName&gt;&lt;/author&gt;&lt;author&gt;&lt;firstName&gt;Tony&lt;/firstName&gt;&lt;lastName&gt;Dejean&lt;/lastName&gt;&lt;/author&gt;&lt;author&gt;&lt;firstName&gt;Alice&lt;/firstName&gt;&lt;lastName&gt;Valentini&lt;/lastName&gt;&lt;/author&gt;&lt;author&gt;&lt;firstName&gt;Philippe&lt;/firstName&gt;&lt;lastName&gt;Usseglio-Polatera&lt;/lastName&gt;&lt;/author&gt;&lt;author&gt;&lt;firstName&gt;Jean-Nicolas&lt;/firstName&gt;&lt;lastName&gt;Beisel&lt;/lastName&gt;&lt;/author&gt;&lt;author&gt;&lt;firstName&gt;Eric&lt;/firstName&gt;&lt;lastName&gt;Coissac&lt;/lastName&gt;&lt;/author&gt;&lt;author&gt;&lt;firstName&gt;Frederic&lt;/firstName&gt;&lt;lastName&gt;Boyer&lt;/lastName&gt;&lt;/author&gt;&lt;author&gt;&lt;firstName&gt;Florian&lt;/firstName&gt;&lt;lastName&gt;Leese&lt;/lastName&gt;&lt;/author&gt;&lt;/authors&gt;&lt;/publication&gt;&lt;/publications&gt;&lt;cites&gt;&lt;/cites&gt;&lt;/citation&gt;</w:instrText>
      </w:r>
      <w:r w:rsidRPr="006861C7">
        <w:fldChar w:fldCharType="separate"/>
      </w:r>
      <w:r>
        <w:rPr>
          <w:rFonts w:eastAsia="SimSun"/>
          <w:szCs w:val="24"/>
          <w:lang w:val="de-DE"/>
        </w:rPr>
        <w:t>(Elbrecht and Leese, 2015; Elbrecht et al., 2016)</w:t>
      </w:r>
      <w:r w:rsidRPr="006861C7">
        <w:fldChar w:fldCharType="end"/>
      </w:r>
      <w:r w:rsidRPr="006861C7">
        <w:t>. The identical DNA aliquot and one step PCR protocol as</w:t>
      </w:r>
      <w:r>
        <w:t xml:space="preserve"> </w:t>
      </w:r>
      <w:r w:rsidRPr="006861C7">
        <w:t xml:space="preserve">in </w:t>
      </w:r>
      <w:r w:rsidRPr="006861C7">
        <w:fldChar w:fldCharType="begin"/>
      </w:r>
      <w:r>
        <w:instrText xml:space="preserve"> ADDIN PAPERS2_CITATIONS &lt;citation&gt;&lt;uuid&gt;EF09FF21-E6DB-454D-9D74-B1A10172E17D&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Pr="006861C7">
        <w:fldChar w:fldCharType="separate"/>
      </w:r>
      <w:r>
        <w:rPr>
          <w:rFonts w:eastAsia="SimSun"/>
          <w:szCs w:val="24"/>
          <w:lang w:val="de-DE"/>
        </w:rPr>
        <w:t>(Elbrecht and Leese, 2015)</w:t>
      </w:r>
      <w:r w:rsidRPr="006861C7">
        <w:fldChar w:fldCharType="end"/>
      </w:r>
      <w:r w:rsidRPr="006861C7">
        <w:t xml:space="preserve"> was used for all four primer combinations</w:t>
      </w:r>
      <w:r>
        <w:t>, but the number of PCR cycles was increased from 30 to 35</w:t>
      </w:r>
      <w:r w:rsidRPr="006861C7">
        <w:t xml:space="preserve">. As in the previous studies, each sample was uniquely tagged from both sides, but for half of the samples only 25 </w:t>
      </w:r>
      <w:proofErr w:type="spellStart"/>
      <w:r w:rsidRPr="006861C7">
        <w:t>ng</w:t>
      </w:r>
      <w:proofErr w:type="spellEnd"/>
      <w:r w:rsidRPr="006861C7">
        <w:t xml:space="preserve"> instead of 50 </w:t>
      </w:r>
      <w:proofErr w:type="spellStart"/>
      <w:r w:rsidRPr="006861C7">
        <w:t>ng</w:t>
      </w:r>
      <w:proofErr w:type="spellEnd"/>
      <w:r w:rsidRPr="006861C7">
        <w:t xml:space="preserve"> DNA was used in PCR (see Figure S1). For each primer combination all ten samples were run in the same PCR setup, using one PCR replicate per sample. Ready-to-load products were magnet-bead purified (left sided, </w:t>
      </w:r>
      <w:r w:rsidRPr="006861C7">
        <w:rPr>
          <w:rFonts w:cs="Arial"/>
        </w:rPr>
        <w:t xml:space="preserve">0.8x </w:t>
      </w:r>
      <w:proofErr w:type="spellStart"/>
      <w:r w:rsidRPr="006861C7">
        <w:rPr>
          <w:rFonts w:cs="Arial"/>
        </w:rPr>
        <w:t>SPRIselect</w:t>
      </w:r>
      <w:proofErr w:type="spellEnd"/>
      <w:r w:rsidRPr="006861C7">
        <w:rPr>
          <w:rFonts w:cs="Arial"/>
        </w:rPr>
        <w:t>, Beckman Coulter, Bread, CA, USA</w:t>
      </w:r>
      <w:r w:rsidRPr="006861C7">
        <w:t xml:space="preserve">) and quantified using the </w:t>
      </w:r>
      <w:proofErr w:type="spellStart"/>
      <w:r w:rsidRPr="006861C7">
        <w:rPr>
          <w:rFonts w:cs="Arial"/>
        </w:rPr>
        <w:t>Qubit</w:t>
      </w:r>
      <w:proofErr w:type="spellEnd"/>
      <w:r w:rsidRPr="006861C7">
        <w:rPr>
          <w:rFonts w:cs="Arial"/>
        </w:rPr>
        <w:t xml:space="preserve"> HS Kit (</w:t>
      </w:r>
      <w:proofErr w:type="spellStart"/>
      <w:r w:rsidRPr="006861C7">
        <w:rPr>
          <w:rFonts w:cs="Arial"/>
        </w:rPr>
        <w:t>Thermofisher</w:t>
      </w:r>
      <w:proofErr w:type="spellEnd"/>
      <w:r w:rsidRPr="006861C7">
        <w:rPr>
          <w:rFonts w:cs="Arial"/>
        </w:rPr>
        <w:t xml:space="preserve"> Scientific, Carlsbad, </w:t>
      </w:r>
      <w:r w:rsidRPr="006861C7">
        <w:rPr>
          <w:rFonts w:cs="Arial"/>
        </w:rPr>
        <w:lastRenderedPageBreak/>
        <w:t xml:space="preserve">CA, USA). For each primer combination, </w:t>
      </w:r>
      <w:proofErr w:type="spellStart"/>
      <w:r w:rsidRPr="006861C7">
        <w:rPr>
          <w:rFonts w:cs="Arial"/>
        </w:rPr>
        <w:t>equimolar</w:t>
      </w:r>
      <w:proofErr w:type="spellEnd"/>
      <w:r w:rsidRPr="006861C7">
        <w:rPr>
          <w:rFonts w:cs="Arial"/>
        </w:rPr>
        <w:t xml:space="preserve"> amounts of </w:t>
      </w:r>
      <w:proofErr w:type="spellStart"/>
      <w:r w:rsidRPr="006861C7">
        <w:rPr>
          <w:rFonts w:cs="Arial"/>
        </w:rPr>
        <w:t>amplicons</w:t>
      </w:r>
      <w:proofErr w:type="spellEnd"/>
      <w:r w:rsidRPr="006861C7">
        <w:rPr>
          <w:rFonts w:cs="Arial"/>
        </w:rPr>
        <w:t xml:space="preserve"> were pooled into one library (</w:t>
      </w:r>
      <w:proofErr w:type="spellStart"/>
      <w:r w:rsidRPr="006861C7">
        <w:rPr>
          <w:rFonts w:cs="Arial"/>
        </w:rPr>
        <w:t>amplicon</w:t>
      </w:r>
      <w:proofErr w:type="spellEnd"/>
      <w:r w:rsidRPr="006861C7">
        <w:rPr>
          <w:rFonts w:cs="Arial"/>
        </w:rPr>
        <w:t xml:space="preserve"> concentrations have to be adjusted as </w:t>
      </w:r>
      <w:proofErr w:type="spellStart"/>
      <w:r w:rsidRPr="006861C7">
        <w:rPr>
          <w:rFonts w:cs="Arial"/>
        </w:rPr>
        <w:t>amplicon</w:t>
      </w:r>
      <w:proofErr w:type="spellEnd"/>
      <w:r w:rsidRPr="006861C7">
        <w:rPr>
          <w:rFonts w:cs="Arial"/>
        </w:rPr>
        <w:t xml:space="preserve"> length does vary, see Figure S1). The library was sequenced on one lane of a </w:t>
      </w:r>
      <w:proofErr w:type="spellStart"/>
      <w:r w:rsidRPr="006861C7">
        <w:rPr>
          <w:rFonts w:cs="Arial"/>
        </w:rPr>
        <w:t>HiSeq</w:t>
      </w:r>
      <w:proofErr w:type="spellEnd"/>
      <w:r w:rsidRPr="006861C7">
        <w:rPr>
          <w:rFonts w:cs="Arial"/>
        </w:rPr>
        <w:t xml:space="preserve"> 2500 (rapid run, 2x250 </w:t>
      </w:r>
      <w:proofErr w:type="spellStart"/>
      <w:r w:rsidRPr="006861C7">
        <w:rPr>
          <w:rFonts w:cs="Arial"/>
        </w:rPr>
        <w:t>bp</w:t>
      </w:r>
      <w:proofErr w:type="spellEnd"/>
      <w:r w:rsidRPr="006861C7">
        <w:rPr>
          <w:rFonts w:cs="Arial"/>
        </w:rPr>
        <w:t xml:space="preserve">) with 5% </w:t>
      </w:r>
      <w:proofErr w:type="spellStart"/>
      <w:r w:rsidRPr="006861C7">
        <w:rPr>
          <w:rFonts w:cs="Arial"/>
        </w:rPr>
        <w:t>PhiX</w:t>
      </w:r>
      <w:proofErr w:type="spellEnd"/>
      <w:r w:rsidRPr="006861C7">
        <w:rPr>
          <w:rFonts w:cs="Arial"/>
        </w:rPr>
        <w:t xml:space="preserve"> spike-in, carried out by the DNA Sequencing Center of Brigham Young University, USA.</w:t>
      </w:r>
    </w:p>
    <w:p w14:paraId="26B3C8AC" w14:textId="77777777" w:rsidR="00DB41E2" w:rsidRPr="006861C7" w:rsidRDefault="00DB41E2" w:rsidP="00DB41E2">
      <w:pPr>
        <w:pStyle w:val="KeinLeerraum"/>
        <w:rPr>
          <w:rFonts w:cs="Arial"/>
        </w:rPr>
      </w:pPr>
    </w:p>
    <w:p w14:paraId="5A262541" w14:textId="77777777" w:rsidR="00DB41E2" w:rsidRDefault="00DB41E2" w:rsidP="00DB41E2">
      <w:pPr>
        <w:pStyle w:val="KeinLeerraum"/>
      </w:pPr>
      <w:proofErr w:type="spellStart"/>
      <w:r w:rsidRPr="006861C7">
        <w:t>Bioinformatic</w:t>
      </w:r>
      <w:proofErr w:type="spellEnd"/>
      <w:r w:rsidRPr="006861C7">
        <w:t xml:space="preserve"> processing of HTS data was kept as similar as possible to previous studies </w:t>
      </w:r>
      <w:r w:rsidRPr="006861C7">
        <w:fldChar w:fldCharType="begin"/>
      </w:r>
      <w:r>
        <w:instrText xml:space="preserve"> ADDIN PAPERS2_CITATIONS &lt;citation&gt;&lt;uuid&gt;F4FB2ED7-7B62-4976-AB34-F2E6DBF5FACF&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uuid&gt;D0DC0C18-B72D-4F3C-8354-44EC702E46B7&lt;/uuid&gt;&lt;volume&gt;4&lt;/volume&gt;&lt;doi&gt;10.7717/peerj.1966&lt;/doi&gt;&lt;startpage&gt;e1966&lt;/startpage&gt;&lt;publication_date&gt;99201600001200000000200000&lt;/publication_date&gt;&lt;url&gt;https://peerj.com/articles/1966&lt;/url&gt;&lt;type&gt;400&lt;/type&gt;&lt;title&gt;Testing the potential of a ribosomal 16S marker for DNA metabarcoding of insects&lt;/title&gt;&lt;publisher&gt;PeerJ Inc.&lt;/publisher&gt;&lt;number&gt;4&lt;/number&gt;&lt;subtype&gt;400&lt;/subtype&gt;&lt;endpage&gt;12&lt;/endpage&gt;&lt;bundle&gt;&lt;publication&gt;&lt;title&gt;PeerJ&lt;/title&gt;&lt;type&gt;-100&lt;/type&gt;&lt;subtype&gt;-100&lt;/subtype&gt;&lt;uuid&gt;5EBA4B9F-B369-4753-B381-FDCC83951E9F&lt;/uuid&gt;&lt;/publication&gt;&lt;/bundle&gt;&lt;authors&gt;&lt;author&gt;&lt;firstName&gt;Vasco&lt;/firstName&gt;&lt;lastName&gt;Elbrecht&lt;/lastName&gt;&lt;/author&gt;&lt;author&gt;&lt;firstName&gt;Pierre&lt;/firstName&gt;&lt;lastName&gt;Taberlet&lt;/lastName&gt;&lt;/author&gt;&lt;author&gt;&lt;firstName&gt;Tony&lt;/firstName&gt;&lt;lastName&gt;Dejean&lt;/lastName&gt;&lt;/author&gt;&lt;author&gt;&lt;firstName&gt;Alice&lt;/firstName&gt;&lt;lastName&gt;Valentini&lt;/lastName&gt;&lt;/author&gt;&lt;author&gt;&lt;firstName&gt;Philippe&lt;/firstName&gt;&lt;lastName&gt;Usseglio-Polatera&lt;/lastName&gt;&lt;/author&gt;&lt;author&gt;&lt;firstName&gt;Jean-Nicolas&lt;/firstName&gt;&lt;lastName&gt;Beisel&lt;/lastName&gt;&lt;/author&gt;&lt;author&gt;&lt;firstName&gt;Eric&lt;/firstName&gt;&lt;lastName&gt;Coissac&lt;/lastName&gt;&lt;/author&gt;&lt;author&gt;&lt;firstName&gt;Frederic&lt;/firstName&gt;&lt;lastName&gt;Boyer&lt;/lastName&gt;&lt;/author&gt;&lt;author&gt;&lt;firstName&gt;Florian&lt;/firstName&gt;&lt;lastName&gt;Leese&lt;/lastName&gt;&lt;/author&gt;&lt;/authors&gt;&lt;/publication&gt;&lt;/publications&gt;&lt;cites&gt;&lt;/cites&gt;&lt;/citation&gt;</w:instrText>
      </w:r>
      <w:r w:rsidRPr="006861C7">
        <w:fldChar w:fldCharType="separate"/>
      </w:r>
      <w:r>
        <w:rPr>
          <w:rFonts w:eastAsia="SimSun"/>
          <w:szCs w:val="24"/>
          <w:lang w:val="de-DE"/>
        </w:rPr>
        <w:t>(Elbrecht and Leese, 2015; Elbrecht et al., 2016)</w:t>
      </w:r>
      <w:r w:rsidRPr="006861C7">
        <w:fldChar w:fldCharType="end"/>
      </w:r>
      <w:r w:rsidRPr="006861C7">
        <w:t xml:space="preserve">. In short, reads were </w:t>
      </w:r>
      <w:proofErr w:type="spellStart"/>
      <w:r w:rsidRPr="006861C7">
        <w:t>demultiplexed</w:t>
      </w:r>
      <w:proofErr w:type="spellEnd"/>
      <w:r w:rsidRPr="006861C7">
        <w:t xml:space="preserve"> (script S1) and paired end reads merged using </w:t>
      </w:r>
      <w:proofErr w:type="spellStart"/>
      <w:r w:rsidRPr="006861C7">
        <w:t>Usearch</w:t>
      </w:r>
      <w:proofErr w:type="spellEnd"/>
      <w:r w:rsidRPr="006861C7">
        <w:t xml:space="preserve"> v8.1.1831 -</w:t>
      </w:r>
      <w:proofErr w:type="spellStart"/>
      <w:r w:rsidRPr="006861C7">
        <w:t>fastq_mergepairs</w:t>
      </w:r>
      <w:proofErr w:type="spellEnd"/>
      <w:r w:rsidRPr="006861C7">
        <w:t xml:space="preserve"> with -</w:t>
      </w:r>
      <w:proofErr w:type="spellStart"/>
      <w:r w:rsidRPr="006861C7">
        <w:t>fastq_merge_maxee</w:t>
      </w:r>
      <w:proofErr w:type="spellEnd"/>
      <w:r w:rsidRPr="006861C7">
        <w:t xml:space="preserve"> 1.0 </w:t>
      </w:r>
      <w:r w:rsidRPr="006861C7">
        <w:fldChar w:fldCharType="begin"/>
      </w:r>
      <w:r>
        <w:instrText xml:space="preserve"> ADDIN PAPERS2_CITATIONS &lt;citation&gt;&lt;uuid&gt;80D0E626-0323-45A8-A25E-4EB55B872BE3&lt;/uuid&gt;&lt;priority&gt;0&lt;/priority&gt;&lt;publications&gt;&lt;publication&gt;&lt;uuid&gt;D79A3F34-5DE4-4746-BB98-5B22B89FBCED&lt;/uuid&gt;&lt;volume&gt;31&lt;/volume&gt;&lt;accepted_date&gt;99201506271200000000222000&lt;/accepted_date&gt;&lt;doi&gt;10.1093/bioinformatics/btv401&lt;/doi&gt;&lt;startpage&gt;3476&lt;/startpage&gt;&lt;publication_date&gt;99201511011200000000222000&lt;/publication_date&gt;&lt;url&gt;http://bioinformatics.oxfordjournals.org/lookup/doi/10.1093/bioinformatics/btv401&lt;/url&gt;&lt;citekey&gt;Edgar:2015kg&lt;/citekey&gt;&lt;type&gt;400&lt;/type&gt;&lt;title&gt;Error filtering, pair assembly and error correction for next-generation sequencing reads.&lt;/title&gt;&lt;submission_date&gt;99201503261200000000222000&lt;/submission_date&gt;&lt;number&gt;21&lt;/number&gt;&lt;institution&gt;Tiburon, CA 94920, USA and.&lt;/institution&gt;&lt;subtype&gt;400&lt;/subtype&gt;&lt;endpage&gt;3482&lt;/endpage&gt;&lt;bundle&gt;&lt;publication&gt;&lt;title&gt;Bioinformatics&lt;/title&gt;&lt;type&gt;-100&lt;/type&gt;&lt;subtype&gt;-100&lt;/subtype&gt;&lt;uuid&gt;2E33798A-BA63-4400-BA48-474B55D4AEFF&lt;/uuid&gt;&lt;/publication&gt;&lt;/bundle&gt;&lt;authors&gt;&lt;author&gt;&lt;firstName&gt;Robert&lt;/firstName&gt;&lt;middleNames&gt;C&lt;/middleNames&gt;&lt;lastName&gt;Edgar&lt;/lastName&gt;&lt;/author&gt;&lt;author&gt;&lt;firstName&gt;Henrik&lt;/firstName&gt;&lt;lastName&gt;Flyvbjerg&lt;/lastName&gt;&lt;/author&gt;&lt;/authors&gt;&lt;/publication&gt;&lt;/publications&gt;&lt;cites&gt;&lt;/cites&gt;&lt;/citation&gt;</w:instrText>
      </w:r>
      <w:r w:rsidRPr="006861C7">
        <w:fldChar w:fldCharType="separate"/>
      </w:r>
      <w:r>
        <w:rPr>
          <w:rFonts w:eastAsia="SimSun"/>
          <w:szCs w:val="24"/>
          <w:lang w:val="de-DE"/>
        </w:rPr>
        <w:t>(Edgar and Flyvbjerg, 2015)</w:t>
      </w:r>
      <w:r w:rsidRPr="006861C7">
        <w:fldChar w:fldCharType="end"/>
      </w:r>
      <w:r w:rsidRPr="006861C7">
        <w:t xml:space="preserve">. Where necessary, reads were converted into reverse complement. For each primer combination all ten replicates were pooled and sequences which were present only one single time in the dataset (singletons) removed prior to clustering with </w:t>
      </w:r>
      <w:proofErr w:type="spellStart"/>
      <w:r w:rsidRPr="006861C7">
        <w:t>Usearch</w:t>
      </w:r>
      <w:proofErr w:type="spellEnd"/>
      <w:r w:rsidRPr="006861C7">
        <w:t xml:space="preserve"> (</w:t>
      </w:r>
      <w:proofErr w:type="spellStart"/>
      <w:r w:rsidRPr="006861C7">
        <w:t>cluster_otus</w:t>
      </w:r>
      <w:proofErr w:type="spellEnd"/>
      <w:r w:rsidRPr="006861C7">
        <w:t xml:space="preserve">, 97% identity, strand plus, includes chimera removal) </w:t>
      </w:r>
      <w:r w:rsidRPr="006861C7">
        <w:fldChar w:fldCharType="begin"/>
      </w:r>
      <w:r>
        <w:instrText xml:space="preserve"> ADDIN PAPERS2_CITATIONS &lt;citation&gt;&lt;uuid&gt;6908B0C1-B28C-4714-8FF0-5888098009B4&lt;/uuid&gt;&lt;priority&gt;0&lt;/priority&gt;&lt;publications&gt;&lt;publication&gt;&lt;uuid&gt;9A935A34-0A88-4B29-B170-201C938CBF2F&lt;/uuid&gt;&lt;volume&gt;10&lt;/volume&gt;&lt;doi&gt;10.1038/nmeth.2604&lt;/doi&gt;&lt;startpage&gt;996&lt;/startpage&gt;&lt;publication_date&gt;99201308181200000000222000&lt;/publication_date&gt;&lt;url&gt;http://www.nature.com/nmeth/journal/v10/n10/pdf/nmeth.2604.pdf&lt;/url&gt;&lt;citekey&gt;Edgar:2013hf&lt;/citekey&gt;&lt;type&gt;400&lt;/type&gt;&lt;title&gt;UPARSE: highly accurate OTU sequences from microbial amplicon reads&lt;/title&gt;&lt;number&gt;10&lt;/number&gt;&lt;subtype&gt;400&lt;/subtype&gt;&lt;endpage&gt;998&lt;/endpage&gt;&lt;bundle&gt;&lt;publication&gt;&lt;publisher&gt;Nature Publishing Group&lt;/publisher&gt;&lt;title&gt;Nature Methods&lt;/title&gt;&lt;type&gt;-100&lt;/type&gt;&lt;subtype&gt;-100&lt;/subtype&gt;&lt;uuid&gt;06D9592A-30CC-4511-930C-2367B1138A54&lt;/uuid&gt;&lt;/publication&gt;&lt;/bundle&gt;&lt;authors&gt;&lt;author&gt;&lt;firstName&gt;Robert&lt;/firstName&gt;&lt;middleNames&gt;C&lt;/middleNames&gt;&lt;lastName&gt;Edgar&lt;/lastName&gt;&lt;/author&gt;&lt;/authors&gt;&lt;/publication&gt;&lt;/publications&gt;&lt;cites&gt;&lt;/cites&gt;&lt;/citation&gt;</w:instrText>
      </w:r>
      <w:r w:rsidRPr="006861C7">
        <w:fldChar w:fldCharType="separate"/>
      </w:r>
      <w:r>
        <w:rPr>
          <w:rFonts w:eastAsia="SimSun"/>
          <w:szCs w:val="24"/>
          <w:lang w:val="de-DE"/>
        </w:rPr>
        <w:t>(Edgar, 2013)</w:t>
      </w:r>
      <w:r w:rsidRPr="006861C7">
        <w:fldChar w:fldCharType="end"/>
      </w:r>
      <w:r w:rsidRPr="006861C7">
        <w:t xml:space="preserve">. </w:t>
      </w:r>
      <w:proofErr w:type="spellStart"/>
      <w:r w:rsidRPr="006861C7">
        <w:t>Dereplicated</w:t>
      </w:r>
      <w:proofErr w:type="spellEnd"/>
      <w:r w:rsidRPr="006861C7">
        <w:t xml:space="preserve"> reads for each of the 40 samples (including singletons) were compared against the respective OTU dataset, using </w:t>
      </w:r>
      <w:proofErr w:type="spellStart"/>
      <w:r w:rsidRPr="006861C7">
        <w:t>usearch_global</w:t>
      </w:r>
      <w:proofErr w:type="spellEnd"/>
      <w:r w:rsidRPr="006861C7">
        <w:t xml:space="preserve"> with a minimum match of 97% and strand plus. Like in previous studies, low abundance OTUs without at least one sample above 0.003% sequences assigned, were considered unreliable and excluded from the dataset. Taxonomy of the remaining OTUs was identified and manually verified using the BOLD and NCBI database. To ensure that the same taxonomy was assigned across primer combinations and the reference COI study </w:t>
      </w:r>
      <w:r w:rsidRPr="006861C7">
        <w:fldChar w:fldCharType="begin"/>
      </w:r>
      <w:r>
        <w:instrText xml:space="preserve"> ADDIN PAPERS2_CITATIONS &lt;citation&gt;&lt;uuid&gt;2C63541C-0087-4C7C-8077-AF28CA733CEA&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Pr="006861C7">
        <w:fldChar w:fldCharType="separate"/>
      </w:r>
      <w:r>
        <w:rPr>
          <w:rFonts w:eastAsia="SimSun"/>
          <w:szCs w:val="24"/>
          <w:lang w:val="de-DE"/>
        </w:rPr>
        <w:t>(Elbrecht and Leese, 2015)</w:t>
      </w:r>
      <w:r w:rsidRPr="006861C7">
        <w:fldChar w:fldCharType="end"/>
      </w:r>
      <w:r w:rsidRPr="006861C7">
        <w:t>, the most abundant sequence for each OTU in each sample was extracted using an R script (Script S2) and the haplotype of all individual specimens assembled, if amplified by more than one primer combination</w:t>
      </w:r>
      <w:r>
        <w:t>.</w:t>
      </w:r>
    </w:p>
    <w:p w14:paraId="0470265A" w14:textId="77777777" w:rsidR="00DB41E2" w:rsidRDefault="00DB41E2" w:rsidP="00DB41E2">
      <w:pPr>
        <w:pStyle w:val="KeinLeerraum"/>
      </w:pPr>
    </w:p>
    <w:p w14:paraId="5D7C0836" w14:textId="77777777" w:rsidR="00DB41E2" w:rsidRDefault="00DB41E2" w:rsidP="00DB41E2">
      <w:pPr>
        <w:pStyle w:val="KeinLeerraum"/>
      </w:pPr>
    </w:p>
    <w:p w14:paraId="7A53DE53" w14:textId="77777777" w:rsidR="00DB41E2" w:rsidRPr="006861C7" w:rsidRDefault="00DB41E2" w:rsidP="00DB41E2">
      <w:pPr>
        <w:pStyle w:val="berschrift1"/>
      </w:pPr>
      <w:r w:rsidRPr="006861C7">
        <w:t>Results</w:t>
      </w:r>
    </w:p>
    <w:p w14:paraId="7E8506C4" w14:textId="77777777" w:rsidR="00DB41E2" w:rsidRPr="006861C7" w:rsidRDefault="00DB41E2" w:rsidP="00DB41E2">
      <w:pPr>
        <w:pStyle w:val="berschrift2"/>
      </w:pPr>
      <w:r w:rsidRPr="006861C7">
        <w:t xml:space="preserve">Developed primers using </w:t>
      </w:r>
      <w:proofErr w:type="spellStart"/>
      <w:r w:rsidRPr="006861C7">
        <w:t>PrimerMiner</w:t>
      </w:r>
      <w:proofErr w:type="spellEnd"/>
    </w:p>
    <w:p w14:paraId="50618DB4" w14:textId="77777777" w:rsidR="00DB41E2" w:rsidRDefault="00DB41E2" w:rsidP="00DB41E2">
      <w:pPr>
        <w:pStyle w:val="KeinLeerraum"/>
      </w:pPr>
      <w:r w:rsidRPr="006861C7">
        <w:t>We designed four primer pairs (</w:t>
      </w:r>
      <w:r>
        <w:t>Table 1</w:t>
      </w:r>
      <w:r w:rsidRPr="006861C7">
        <w:t xml:space="preserve">) using the alignments of 15 freshwater </w:t>
      </w:r>
      <w:r>
        <w:t>taxa relevant for bio-</w:t>
      </w:r>
      <w:r w:rsidRPr="006861C7">
        <w:t xml:space="preserve">assessment (Figure S2). The two BF and two BR primers show high base degeneracy to amplify as many insect taxa as possible. Amplified regions range from 217 </w:t>
      </w:r>
      <w:proofErr w:type="spellStart"/>
      <w:r w:rsidRPr="006861C7">
        <w:t>bp</w:t>
      </w:r>
      <w:proofErr w:type="spellEnd"/>
      <w:r w:rsidRPr="006861C7">
        <w:t xml:space="preserve"> for internal barcodes and up to 421 </w:t>
      </w:r>
      <w:proofErr w:type="spellStart"/>
      <w:r w:rsidRPr="006861C7">
        <w:t>bp</w:t>
      </w:r>
      <w:proofErr w:type="spellEnd"/>
      <w:r w:rsidRPr="006861C7">
        <w:t xml:space="preserve"> for combinations using a degenerated version of the HCO2198 primer (Figure 1). While samples in this study were tagged uniquely from both sides</w:t>
      </w:r>
      <w:r>
        <w:t xml:space="preserve"> using fusion primers (Figure S3)</w:t>
      </w:r>
      <w:r w:rsidRPr="006861C7">
        <w:t>, the inline barcodes allow for tagging of up to 72 samples for each primer combination (see Figure S4 for recommended primer combinations).</w:t>
      </w:r>
    </w:p>
    <w:p w14:paraId="49862003" w14:textId="77777777" w:rsidR="00DB41E2" w:rsidRDefault="00DB41E2" w:rsidP="00DB41E2">
      <w:pPr>
        <w:pStyle w:val="KeinLeerraum"/>
      </w:pPr>
    </w:p>
    <w:p w14:paraId="70FD9281" w14:textId="02B93B33" w:rsidR="008B6E16" w:rsidRDefault="008B6E16" w:rsidP="00DB41E2">
      <w:pPr>
        <w:pStyle w:val="KeinLeerraum"/>
      </w:pPr>
      <w:r w:rsidRPr="008B6E16">
        <w:rPr>
          <w:b/>
        </w:rPr>
        <w:t>Table 1:</w:t>
      </w:r>
      <w:r>
        <w:rPr>
          <w:b/>
        </w:rPr>
        <w:t xml:space="preserve"> </w:t>
      </w:r>
      <w:r>
        <w:t>Newly</w:t>
      </w:r>
      <w:r w:rsidR="00272B2B">
        <w:t xml:space="preserve"> developed</w:t>
      </w:r>
      <w:r>
        <w:t xml:space="preserve"> universal primers targeting freshwater </w:t>
      </w:r>
      <w:r w:rsidR="00272B2B">
        <w:t xml:space="preserve">invertebrates relevant for </w:t>
      </w:r>
      <w:r>
        <w:t>assessment.</w:t>
      </w:r>
    </w:p>
    <w:tbl>
      <w:tblPr>
        <w:tblStyle w:val="Tabellenraster"/>
        <w:tblW w:w="0" w:type="auto"/>
        <w:tblLook w:val="04A0" w:firstRow="1" w:lastRow="0" w:firstColumn="1" w:lastColumn="0" w:noHBand="0" w:noVBand="1"/>
      </w:tblPr>
      <w:tblGrid>
        <w:gridCol w:w="1627"/>
        <w:gridCol w:w="1417"/>
        <w:gridCol w:w="6873"/>
      </w:tblGrid>
      <w:tr w:rsidR="008B6E16" w14:paraId="17803162" w14:textId="77777777" w:rsidTr="008B6E16">
        <w:tc>
          <w:tcPr>
            <w:tcW w:w="1627" w:type="dxa"/>
          </w:tcPr>
          <w:p w14:paraId="297359B2" w14:textId="35BB2C59" w:rsidR="008B6E16" w:rsidRDefault="008B6E16" w:rsidP="00DB41E2">
            <w:pPr>
              <w:pStyle w:val="KeinLeerraum"/>
            </w:pPr>
            <w:r>
              <w:t>Primer name</w:t>
            </w:r>
          </w:p>
        </w:tc>
        <w:tc>
          <w:tcPr>
            <w:tcW w:w="1417" w:type="dxa"/>
          </w:tcPr>
          <w:p w14:paraId="4944BF41" w14:textId="6EC14C39" w:rsidR="008B6E16" w:rsidRDefault="008B6E16" w:rsidP="00DB41E2">
            <w:pPr>
              <w:pStyle w:val="KeinLeerraum"/>
            </w:pPr>
            <w:r>
              <w:t>Direction</w:t>
            </w:r>
          </w:p>
        </w:tc>
        <w:tc>
          <w:tcPr>
            <w:tcW w:w="6873" w:type="dxa"/>
          </w:tcPr>
          <w:p w14:paraId="6D6A064A" w14:textId="269618FA" w:rsidR="008B6E16" w:rsidRDefault="008B6E16" w:rsidP="00DB41E2">
            <w:pPr>
              <w:pStyle w:val="KeinLeerraum"/>
            </w:pPr>
            <w:r>
              <w:t>Primer sequence</w:t>
            </w:r>
            <w:r w:rsidR="00937FCB">
              <w:t xml:space="preserve"> (from 5' to 3')</w:t>
            </w:r>
          </w:p>
        </w:tc>
      </w:tr>
      <w:tr w:rsidR="008B6E16" w14:paraId="5A5B4D9D" w14:textId="77777777" w:rsidTr="008B6E16">
        <w:tc>
          <w:tcPr>
            <w:tcW w:w="1627" w:type="dxa"/>
          </w:tcPr>
          <w:p w14:paraId="2BF330AE" w14:textId="32CC168F" w:rsidR="008B6E16" w:rsidRDefault="008B6E16" w:rsidP="00DB41E2">
            <w:pPr>
              <w:pStyle w:val="KeinLeerraum"/>
            </w:pPr>
            <w:r>
              <w:t>BF1</w:t>
            </w:r>
          </w:p>
        </w:tc>
        <w:tc>
          <w:tcPr>
            <w:tcW w:w="1417" w:type="dxa"/>
          </w:tcPr>
          <w:p w14:paraId="2B9F3FE8" w14:textId="0EEA19A0" w:rsidR="008B6E16" w:rsidRDefault="008B6E16" w:rsidP="00DB41E2">
            <w:pPr>
              <w:pStyle w:val="KeinLeerraum"/>
            </w:pPr>
            <w:r>
              <w:t>Forward</w:t>
            </w:r>
          </w:p>
        </w:tc>
        <w:tc>
          <w:tcPr>
            <w:tcW w:w="6873" w:type="dxa"/>
          </w:tcPr>
          <w:p w14:paraId="17635FB4" w14:textId="2318DDAF" w:rsidR="008B6E16" w:rsidRPr="008144CE" w:rsidRDefault="008144CE" w:rsidP="00DB41E2">
            <w:pPr>
              <w:pStyle w:val="KeinLeerraum"/>
              <w:rPr>
                <w:rFonts w:ascii="Courier" w:hAnsi="Courier"/>
              </w:rPr>
            </w:pPr>
            <w:r w:rsidRPr="008144CE">
              <w:rPr>
                <w:rFonts w:ascii="Courier" w:hAnsi="Courier"/>
              </w:rPr>
              <w:t>ACWGGWTGRACWGTNTAYCC</w:t>
            </w:r>
          </w:p>
        </w:tc>
      </w:tr>
      <w:tr w:rsidR="008B6E16" w14:paraId="173C722D" w14:textId="77777777" w:rsidTr="008B6E16">
        <w:tc>
          <w:tcPr>
            <w:tcW w:w="1627" w:type="dxa"/>
          </w:tcPr>
          <w:p w14:paraId="7BBD55F9" w14:textId="21CED54A" w:rsidR="008B6E16" w:rsidRDefault="008B6E16" w:rsidP="00DB41E2">
            <w:pPr>
              <w:pStyle w:val="KeinLeerraum"/>
            </w:pPr>
            <w:r>
              <w:t>BF2</w:t>
            </w:r>
          </w:p>
        </w:tc>
        <w:tc>
          <w:tcPr>
            <w:tcW w:w="1417" w:type="dxa"/>
          </w:tcPr>
          <w:p w14:paraId="29983EC6" w14:textId="29D20F9E" w:rsidR="008B6E16" w:rsidRDefault="008B6E16" w:rsidP="00DB41E2">
            <w:pPr>
              <w:pStyle w:val="KeinLeerraum"/>
            </w:pPr>
            <w:r>
              <w:t>Forward</w:t>
            </w:r>
          </w:p>
        </w:tc>
        <w:tc>
          <w:tcPr>
            <w:tcW w:w="6873" w:type="dxa"/>
          </w:tcPr>
          <w:p w14:paraId="50ACFB95" w14:textId="57729E7F" w:rsidR="008B6E16" w:rsidRPr="008144CE" w:rsidRDefault="008144CE" w:rsidP="00DB41E2">
            <w:pPr>
              <w:pStyle w:val="KeinLeerraum"/>
              <w:rPr>
                <w:rFonts w:ascii="Courier" w:hAnsi="Courier"/>
              </w:rPr>
            </w:pPr>
            <w:r w:rsidRPr="008144CE">
              <w:rPr>
                <w:rFonts w:ascii="Courier" w:hAnsi="Courier"/>
              </w:rPr>
              <w:t>GCHCCHGAYATRGCHTTYCC</w:t>
            </w:r>
          </w:p>
        </w:tc>
      </w:tr>
      <w:tr w:rsidR="008B6E16" w14:paraId="10D21298" w14:textId="77777777" w:rsidTr="008B6E16">
        <w:tc>
          <w:tcPr>
            <w:tcW w:w="1627" w:type="dxa"/>
          </w:tcPr>
          <w:p w14:paraId="04F4E32C" w14:textId="44072E07" w:rsidR="008B6E16" w:rsidRDefault="008B6E16" w:rsidP="00DB41E2">
            <w:pPr>
              <w:pStyle w:val="KeinLeerraum"/>
            </w:pPr>
            <w:r>
              <w:t>BR1</w:t>
            </w:r>
          </w:p>
        </w:tc>
        <w:tc>
          <w:tcPr>
            <w:tcW w:w="1417" w:type="dxa"/>
          </w:tcPr>
          <w:p w14:paraId="41BBB2A7" w14:textId="18F5BC04" w:rsidR="008B6E16" w:rsidRDefault="008B6E16" w:rsidP="00DB41E2">
            <w:pPr>
              <w:pStyle w:val="KeinLeerraum"/>
            </w:pPr>
            <w:r>
              <w:t>Reverse</w:t>
            </w:r>
          </w:p>
        </w:tc>
        <w:tc>
          <w:tcPr>
            <w:tcW w:w="6873" w:type="dxa"/>
          </w:tcPr>
          <w:p w14:paraId="58C175D3" w14:textId="12EA95DD" w:rsidR="008B6E16" w:rsidRPr="008144CE" w:rsidRDefault="008144CE" w:rsidP="00DB41E2">
            <w:pPr>
              <w:pStyle w:val="KeinLeerraum"/>
              <w:rPr>
                <w:rFonts w:ascii="Courier" w:hAnsi="Courier"/>
              </w:rPr>
            </w:pPr>
            <w:r w:rsidRPr="008144CE">
              <w:rPr>
                <w:rFonts w:ascii="Courier" w:hAnsi="Courier"/>
              </w:rPr>
              <w:t>ARYATDGTRATDGCHCCDGC</w:t>
            </w:r>
          </w:p>
        </w:tc>
      </w:tr>
      <w:tr w:rsidR="008B6E16" w14:paraId="425C8541" w14:textId="77777777" w:rsidTr="008B6E16">
        <w:tc>
          <w:tcPr>
            <w:tcW w:w="1627" w:type="dxa"/>
          </w:tcPr>
          <w:p w14:paraId="66201D1E" w14:textId="2920EC78" w:rsidR="008B6E16" w:rsidRDefault="008B6E16" w:rsidP="00DB41E2">
            <w:pPr>
              <w:pStyle w:val="KeinLeerraum"/>
            </w:pPr>
            <w:r>
              <w:t>BR2</w:t>
            </w:r>
          </w:p>
        </w:tc>
        <w:tc>
          <w:tcPr>
            <w:tcW w:w="1417" w:type="dxa"/>
          </w:tcPr>
          <w:p w14:paraId="790A082C" w14:textId="73EEB4FC" w:rsidR="008B6E16" w:rsidRDefault="008B6E16" w:rsidP="00DB41E2">
            <w:pPr>
              <w:pStyle w:val="KeinLeerraum"/>
            </w:pPr>
            <w:r>
              <w:t>Reverse</w:t>
            </w:r>
          </w:p>
        </w:tc>
        <w:tc>
          <w:tcPr>
            <w:tcW w:w="6873" w:type="dxa"/>
          </w:tcPr>
          <w:p w14:paraId="10E87EFE" w14:textId="0594531D" w:rsidR="008B6E16" w:rsidRPr="008144CE" w:rsidRDefault="008144CE" w:rsidP="00DB41E2">
            <w:pPr>
              <w:pStyle w:val="KeinLeerraum"/>
              <w:rPr>
                <w:rFonts w:ascii="Courier" w:hAnsi="Courier"/>
              </w:rPr>
            </w:pPr>
            <w:r w:rsidRPr="008144CE">
              <w:rPr>
                <w:rFonts w:ascii="Courier" w:hAnsi="Courier"/>
              </w:rPr>
              <w:t>TCDGGRTGNCCRAARAAYCA</w:t>
            </w:r>
          </w:p>
        </w:tc>
      </w:tr>
    </w:tbl>
    <w:p w14:paraId="100E3510" w14:textId="77777777" w:rsidR="008B6E16" w:rsidRPr="006861C7" w:rsidRDefault="008B6E16" w:rsidP="00DB41E2">
      <w:pPr>
        <w:pStyle w:val="KeinLeerraum"/>
      </w:pPr>
    </w:p>
    <w:p w14:paraId="3986E2F7" w14:textId="77777777" w:rsidR="00DB41E2" w:rsidRPr="006861C7" w:rsidRDefault="00DB41E2" w:rsidP="00DB41E2">
      <w:pPr>
        <w:pStyle w:val="KeinLeerraum"/>
      </w:pPr>
      <w:r w:rsidRPr="006861C7">
        <w:t xml:space="preserve">All four BF / BR primer combinations were tested on ten invertebrate mock community samples on an </w:t>
      </w:r>
      <w:proofErr w:type="spellStart"/>
      <w:r w:rsidRPr="006861C7">
        <w:t>Illumina</w:t>
      </w:r>
      <w:proofErr w:type="spellEnd"/>
      <w:r w:rsidRPr="006861C7">
        <w:t xml:space="preserve"> </w:t>
      </w:r>
      <w:proofErr w:type="spellStart"/>
      <w:r w:rsidRPr="006861C7">
        <w:t>HiSeq</w:t>
      </w:r>
      <w:proofErr w:type="spellEnd"/>
      <w:r w:rsidRPr="006861C7">
        <w:t xml:space="preserve"> sequencer. PCR efficiency varied across primer combinations, with PCRs involving the BF2 primer showing good amplification whereas those with the BF1 primer always showing decreased yields (Figure S5). Amplification efficiency with fusion primers was always lower than the positive control (standard COI </w:t>
      </w:r>
      <w:proofErr w:type="spellStart"/>
      <w:r w:rsidRPr="006861C7">
        <w:t>Folmer</w:t>
      </w:r>
      <w:proofErr w:type="spellEnd"/>
      <w:r w:rsidRPr="006861C7">
        <w:t xml:space="preserve"> primers, without </w:t>
      </w:r>
      <w:proofErr w:type="spellStart"/>
      <w:r w:rsidRPr="006861C7">
        <w:t>Illumina</w:t>
      </w:r>
      <w:proofErr w:type="spellEnd"/>
      <w:r w:rsidRPr="006861C7">
        <w:t xml:space="preserve"> tail, data not shown). Sequencing was successful for all samples, with very similar amounts of sequences </w:t>
      </w:r>
      <w:r>
        <w:t xml:space="preserve">obtained </w:t>
      </w:r>
      <w:r w:rsidRPr="006861C7">
        <w:t xml:space="preserve">for all </w:t>
      </w:r>
      <w:r w:rsidRPr="006861C7">
        <w:lastRenderedPageBreak/>
        <w:t>replicates (on average 1.55 million reads per sample, SD = 0.2, Figure S1A). Cluster density on the lane was low (402 k/mm</w:t>
      </w:r>
      <w:r w:rsidRPr="006861C7">
        <w:rPr>
          <w:vertAlign w:val="superscript"/>
        </w:rPr>
        <w:t>2</w:t>
      </w:r>
      <w:r w:rsidRPr="006861C7">
        <w:t xml:space="preserve">) yielding only 48.74% of the expected sequencing output, yet with good sequence quality (Q30 ≥ 92.17%, raw data deposited on SRA: SRX1619153). The amplified read lengths had an influence on the amount of sequences retained in </w:t>
      </w:r>
      <w:proofErr w:type="spellStart"/>
      <w:r w:rsidRPr="006861C7">
        <w:t>bioinformatic</w:t>
      </w:r>
      <w:proofErr w:type="spellEnd"/>
      <w:r w:rsidRPr="006861C7">
        <w:t xml:space="preserve"> processing. Longer </w:t>
      </w:r>
      <w:proofErr w:type="spellStart"/>
      <w:r w:rsidRPr="006861C7">
        <w:t>amplicons</w:t>
      </w:r>
      <w:proofErr w:type="spellEnd"/>
      <w:r w:rsidRPr="006861C7">
        <w:t xml:space="preserve"> showed less overlap when PE merged and were thus excluded more often due to expected errors &gt; 1 (Figure S1B). Additionally, for primer combinations that used the P5_BF1_2 primer more sequences were discarded than with other primer combinations, as ~1/5 of the reads had poor </w:t>
      </w:r>
      <w:proofErr w:type="spellStart"/>
      <w:r w:rsidRPr="006861C7">
        <w:t>Phred</w:t>
      </w:r>
      <w:proofErr w:type="spellEnd"/>
      <w:r w:rsidRPr="006861C7">
        <w:t xml:space="preserve"> scores (See Figure S1B). There were also issues with the BF1 and BF2 primers which showed insertions or deletions on the 3' end affecting total sequence length by 1-2 </w:t>
      </w:r>
      <w:proofErr w:type="spellStart"/>
      <w:r w:rsidRPr="006861C7">
        <w:t>bp</w:t>
      </w:r>
      <w:proofErr w:type="spellEnd"/>
      <w:r w:rsidRPr="006861C7">
        <w:t xml:space="preserve"> across all replicates (Figure S6). Some primer combinations also amplified up to 1.35% shorter or longer fragments than expected (Figure S7). </w:t>
      </w:r>
    </w:p>
    <w:p w14:paraId="06BDE956" w14:textId="77777777" w:rsidR="00DB41E2" w:rsidRPr="006861C7" w:rsidRDefault="00DB41E2" w:rsidP="00DB41E2">
      <w:pPr>
        <w:pStyle w:val="berschrift2"/>
      </w:pPr>
      <w:r w:rsidRPr="006861C7">
        <w:t>Amount of taxa recovered</w:t>
      </w:r>
    </w:p>
    <w:p w14:paraId="3EAD4649" w14:textId="33B1D6F7" w:rsidR="00DB41E2" w:rsidRPr="006861C7" w:rsidRDefault="00DB41E2" w:rsidP="00DB41E2">
      <w:pPr>
        <w:pStyle w:val="KeinLeerraum"/>
      </w:pPr>
      <w:r w:rsidRPr="006861C7">
        <w:t xml:space="preserve">All insect taxa present in the mock samples were detected with </w:t>
      </w:r>
      <w:r w:rsidR="004055D9">
        <w:t xml:space="preserve">each primer combination, </w:t>
      </w:r>
      <w:r w:rsidRPr="006861C7">
        <w:t xml:space="preserve">with exception of the BF1 + BR1 combination that failed to amplify the </w:t>
      </w:r>
      <w:proofErr w:type="spellStart"/>
      <w:r w:rsidRPr="006861C7">
        <w:t>Scirtidae</w:t>
      </w:r>
      <w:proofErr w:type="spellEnd"/>
      <w:r w:rsidRPr="006861C7">
        <w:t xml:space="preserve"> (</w:t>
      </w:r>
      <w:proofErr w:type="spellStart"/>
      <w:r w:rsidRPr="006861C7">
        <w:t>Coleoptera</w:t>
      </w:r>
      <w:proofErr w:type="spellEnd"/>
      <w:r w:rsidRPr="006861C7">
        <w:t>)</w:t>
      </w:r>
      <w:r w:rsidR="004055D9">
        <w:t xml:space="preserve"> specimens (Table 2</w:t>
      </w:r>
      <w:r w:rsidR="004055D9" w:rsidRPr="006861C7">
        <w:t xml:space="preserve">, raw OTU data table S3, haplotype sequences data </w:t>
      </w:r>
      <w:r w:rsidR="004055D9">
        <w:t xml:space="preserve">Script </w:t>
      </w:r>
      <w:r w:rsidR="004055D9" w:rsidRPr="006861C7">
        <w:t>S</w:t>
      </w:r>
      <w:r w:rsidR="004055D9">
        <w:t>2)</w:t>
      </w:r>
      <w:r w:rsidRPr="006861C7">
        <w:t xml:space="preserve">. All primers failed for some of the other metazoan taxa, with the BF1 + BR2 combination showing the least amount of undetected taxa. In comparison to the traditional </w:t>
      </w:r>
      <w:proofErr w:type="spellStart"/>
      <w:r w:rsidRPr="006861C7">
        <w:t>Folmer</w:t>
      </w:r>
      <w:proofErr w:type="spellEnd"/>
      <w:r w:rsidRPr="006861C7">
        <w:t xml:space="preserve"> primers (</w:t>
      </w:r>
      <w:proofErr w:type="spellStart"/>
      <w:r w:rsidRPr="006861C7">
        <w:t>Folmer</w:t>
      </w:r>
      <w:proofErr w:type="spellEnd"/>
      <w:r w:rsidRPr="006861C7">
        <w:t xml:space="preserve"> et al. 1994), all BF / BR freshwater primers showed a more consistent and equal read abundance across the mock samples (Figure </w:t>
      </w:r>
      <w:r>
        <w:t>2</w:t>
      </w:r>
      <w:r w:rsidRPr="006861C7">
        <w:t xml:space="preserve">). As in Elbrecht et al. (2016), the standard deviation from the expected abundance and precision for the primer pairs was estimated, which summarizes the variance in amplification for each </w:t>
      </w:r>
      <w:proofErr w:type="spellStart"/>
      <w:r w:rsidRPr="006861C7">
        <w:t>morphotaxon</w:t>
      </w:r>
      <w:proofErr w:type="spellEnd"/>
      <w:r w:rsidRPr="006861C7">
        <w:t xml:space="preserve">. The primer combination BF1 + BR1 showed the highest inconsistencies in read abundance, while the BF2 + BR1 and BF2 + BR2 combination showed even higher precision than a previously tested 16S marker (Elbrecht </w:t>
      </w:r>
      <w:r w:rsidRPr="006861C7">
        <w:rPr>
          <w:i/>
        </w:rPr>
        <w:t>et al.</w:t>
      </w:r>
      <w:r w:rsidRPr="006861C7">
        <w:t xml:space="preserve"> 2016). The proportion of detected non-insect metazoan taxa varied between primer combinations, with the combination BF1+BR2 detecting all but one taxon.</w:t>
      </w:r>
    </w:p>
    <w:p w14:paraId="186E2149" w14:textId="77777777" w:rsidR="00DB41E2" w:rsidRPr="006861C7" w:rsidRDefault="00DB41E2" w:rsidP="00DB41E2">
      <w:pPr>
        <w:pStyle w:val="TextBody"/>
        <w:spacing w:line="240" w:lineRule="auto"/>
      </w:pPr>
    </w:p>
    <w:p w14:paraId="53FF9AED" w14:textId="66473E3F" w:rsidR="00DB41E2" w:rsidRPr="006861C7" w:rsidRDefault="00DB41E2" w:rsidP="00DB41E2">
      <w:pPr>
        <w:pStyle w:val="KeinLeerraum"/>
        <w:rPr>
          <w:rFonts w:eastAsia="Cambria"/>
        </w:rPr>
      </w:pPr>
      <w:r w:rsidRPr="006861C7">
        <w:rPr>
          <w:rFonts w:eastAsia="Cambria"/>
          <w:b/>
        </w:rPr>
        <w:t xml:space="preserve">Table </w:t>
      </w:r>
      <w:r w:rsidR="001B6F38">
        <w:rPr>
          <w:rFonts w:eastAsia="Cambria"/>
          <w:b/>
        </w:rPr>
        <w:t>2</w:t>
      </w:r>
      <w:r w:rsidRPr="006861C7">
        <w:rPr>
          <w:rFonts w:eastAsia="Cambria"/>
          <w:b/>
        </w:rPr>
        <w:t>:</w:t>
      </w:r>
      <w:r w:rsidRPr="006861C7">
        <w:rPr>
          <w:rFonts w:eastAsia="Cambria"/>
        </w:rPr>
        <w:t xml:space="preserve"> Number of species recovered with the newly developed primers and data on 16S and </w:t>
      </w:r>
      <w:proofErr w:type="spellStart"/>
      <w:r w:rsidRPr="006861C7">
        <w:rPr>
          <w:rFonts w:eastAsia="Cambria"/>
        </w:rPr>
        <w:t>Folmer</w:t>
      </w:r>
      <w:proofErr w:type="spellEnd"/>
      <w:r w:rsidRPr="006861C7">
        <w:rPr>
          <w:rFonts w:eastAsia="Cambria"/>
        </w:rPr>
        <w:t xml:space="preserve"> primers from previous tests </w:t>
      </w:r>
      <w:r w:rsidRPr="006861C7">
        <w:rPr>
          <w:rFonts w:eastAsia="Cambria"/>
        </w:rPr>
        <w:fldChar w:fldCharType="begin"/>
      </w:r>
      <w:r>
        <w:rPr>
          <w:rFonts w:eastAsia="Cambria"/>
        </w:rPr>
        <w:instrText xml:space="preserve"> ADDIN PAPERS2_CITATIONS &lt;citation&gt;&lt;uuid&gt;DF24989C-1828-4741-9539-B348F5572353&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uuid&gt;D0DC0C18-B72D-4F3C-8354-44EC702E46B7&lt;/uuid&gt;&lt;volume&gt;4&lt;/volume&gt;&lt;doi&gt;10.7717/peerj.1966&lt;/doi&gt;&lt;startpage&gt;e1966&lt;/startpage&gt;&lt;publication_date&gt;99201600001200000000200000&lt;/publication_date&gt;&lt;url&gt;https://peerj.com/articles/1966&lt;/url&gt;&lt;type&gt;400&lt;/type&gt;&lt;title&gt;Testing the potential of a ribosomal 16S marker for DNA metabarcoding of insects&lt;/title&gt;&lt;publisher&gt;PeerJ Inc.&lt;/publisher&gt;&lt;number&gt;4&lt;/number&gt;&lt;subtype&gt;400&lt;/subtype&gt;&lt;endpage&gt;12&lt;/endpage&gt;&lt;bundle&gt;&lt;publication&gt;&lt;title&gt;PeerJ&lt;/title&gt;&lt;type&gt;-100&lt;/type&gt;&lt;subtype&gt;-100&lt;/subtype&gt;&lt;uuid&gt;5EBA4B9F-B369-4753-B381-FDCC83951E9F&lt;/uuid&gt;&lt;/publication&gt;&lt;/bundle&gt;&lt;authors&gt;&lt;author&gt;&lt;firstName&gt;Vasco&lt;/firstName&gt;&lt;lastName&gt;Elbrecht&lt;/lastName&gt;&lt;/author&gt;&lt;author&gt;&lt;firstName&gt;Pierre&lt;/firstName&gt;&lt;lastName&gt;Taberlet&lt;/lastName&gt;&lt;/author&gt;&lt;author&gt;&lt;firstName&gt;Tony&lt;/firstName&gt;&lt;lastName&gt;Dejean&lt;/lastName&gt;&lt;/author&gt;&lt;author&gt;&lt;firstName&gt;Alice&lt;/firstName&gt;&lt;lastName&gt;Valentini&lt;/lastName&gt;&lt;/author&gt;&lt;author&gt;&lt;firstName&gt;Philippe&lt;/firstName&gt;&lt;lastName&gt;Usseglio-Polatera&lt;/lastName&gt;&lt;/author&gt;&lt;author&gt;&lt;firstName&gt;Jean-Nicolas&lt;/firstName&gt;&lt;lastName&gt;Beisel&lt;/lastName&gt;&lt;/author&gt;&lt;author&gt;&lt;firstName&gt;Eric&lt;/firstName&gt;&lt;lastName&gt;Coissac&lt;/lastName&gt;&lt;/author&gt;&lt;author&gt;&lt;firstName&gt;Frederic&lt;/firstName&gt;&lt;lastName&gt;Boyer&lt;/lastName&gt;&lt;/author&gt;&lt;author&gt;&lt;firstName&gt;Florian&lt;/firstName&gt;&lt;lastName&gt;Leese&lt;/lastName&gt;&lt;/author&gt;&lt;/authors&gt;&lt;/publication&gt;&lt;/publications&gt;&lt;cites&gt;&lt;/cites&gt;&lt;/citation&gt;</w:instrText>
      </w:r>
      <w:r w:rsidRPr="006861C7">
        <w:rPr>
          <w:rFonts w:eastAsia="Cambria"/>
        </w:rPr>
        <w:fldChar w:fldCharType="separate"/>
      </w:r>
      <w:r>
        <w:rPr>
          <w:rFonts w:eastAsia="SimSun"/>
          <w:szCs w:val="24"/>
          <w:lang w:val="de-DE"/>
        </w:rPr>
        <w:t>(Elbrecht and Leese, 2015; Elbrecht et al., 2016)</w:t>
      </w:r>
      <w:r w:rsidRPr="006861C7">
        <w:rPr>
          <w:rFonts w:eastAsia="Cambria"/>
        </w:rPr>
        <w:fldChar w:fldCharType="end"/>
      </w:r>
      <w:r w:rsidRPr="006861C7">
        <w:rPr>
          <w:rFonts w:eastAsia="Cambria"/>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38"/>
        <w:gridCol w:w="1721"/>
        <w:gridCol w:w="530"/>
        <w:gridCol w:w="1393"/>
        <w:gridCol w:w="248"/>
        <w:gridCol w:w="695"/>
        <w:gridCol w:w="252"/>
        <w:gridCol w:w="686"/>
        <w:gridCol w:w="264"/>
        <w:gridCol w:w="695"/>
        <w:gridCol w:w="248"/>
        <w:gridCol w:w="678"/>
        <w:gridCol w:w="264"/>
        <w:gridCol w:w="695"/>
      </w:tblGrid>
      <w:tr w:rsidR="00C5328C" w:rsidRPr="00C5328C" w14:paraId="34001835" w14:textId="77777777" w:rsidTr="00C5328C">
        <w:trPr>
          <w:tblCellSpacing w:w="0" w:type="dxa"/>
        </w:trPr>
        <w:tc>
          <w:tcPr>
            <w:tcW w:w="0" w:type="auto"/>
            <w:vMerge w:val="restart"/>
            <w:vAlign w:val="center"/>
            <w:hideMark/>
          </w:tcPr>
          <w:p w14:paraId="624AB72B"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ascii="Arial" w:eastAsia="Times New Roman" w:hAnsi="Arial" w:cs="Arial"/>
                <w:sz w:val="20"/>
                <w:szCs w:val="20"/>
                <w:lang w:eastAsia="de-DE"/>
              </w:rPr>
              <w:t>Taxonomic group</w:t>
            </w:r>
          </w:p>
        </w:tc>
        <w:tc>
          <w:tcPr>
            <w:tcW w:w="0" w:type="auto"/>
            <w:vMerge w:val="restart"/>
            <w:vAlign w:val="center"/>
            <w:hideMark/>
          </w:tcPr>
          <w:p w14:paraId="6761DEA9"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ascii="Arial" w:eastAsia="Times New Roman" w:hAnsi="Arial" w:cs="Arial"/>
                <w:sz w:val="20"/>
                <w:szCs w:val="20"/>
                <w:lang w:eastAsia="de-DE"/>
              </w:rPr>
              <w:t>Number of specimens</w:t>
            </w:r>
          </w:p>
        </w:tc>
        <w:tc>
          <w:tcPr>
            <w:tcW w:w="0" w:type="auto"/>
            <w:gridSpan w:val="12"/>
            <w:vAlign w:val="center"/>
            <w:hideMark/>
          </w:tcPr>
          <w:p w14:paraId="30A7E4C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ascii="Arial" w:eastAsia="Times New Roman" w:hAnsi="Arial" w:cs="Arial"/>
                <w:sz w:val="20"/>
                <w:szCs w:val="20"/>
                <w:lang w:eastAsia="de-DE"/>
              </w:rPr>
              <w:t>Number of specimens recovered with specific primer combination</w:t>
            </w:r>
          </w:p>
        </w:tc>
      </w:tr>
      <w:tr w:rsidR="00C5328C" w:rsidRPr="00C5328C" w14:paraId="162C7A2A" w14:textId="77777777" w:rsidTr="00C5328C">
        <w:trPr>
          <w:tblCellSpacing w:w="0" w:type="dxa"/>
        </w:trPr>
        <w:tc>
          <w:tcPr>
            <w:tcW w:w="0" w:type="auto"/>
            <w:vMerge/>
            <w:vAlign w:val="center"/>
            <w:hideMark/>
          </w:tcPr>
          <w:p w14:paraId="02AD7D67" w14:textId="77777777" w:rsidR="00C5328C" w:rsidRPr="00C5328C" w:rsidRDefault="00C5328C" w:rsidP="00C5328C">
            <w:pPr>
              <w:spacing w:before="0" w:after="0"/>
              <w:rPr>
                <w:rFonts w:ascii="Arial" w:eastAsia="Times New Roman" w:hAnsi="Arial" w:cs="Arial"/>
                <w:sz w:val="20"/>
                <w:szCs w:val="20"/>
                <w:lang w:eastAsia="de-DE"/>
              </w:rPr>
            </w:pPr>
          </w:p>
        </w:tc>
        <w:tc>
          <w:tcPr>
            <w:tcW w:w="0" w:type="auto"/>
            <w:vMerge/>
            <w:vAlign w:val="center"/>
            <w:hideMark/>
          </w:tcPr>
          <w:p w14:paraId="54B08B38" w14:textId="77777777" w:rsidR="00C5328C" w:rsidRPr="00C5328C" w:rsidRDefault="00C5328C" w:rsidP="00C5328C">
            <w:pPr>
              <w:spacing w:before="0" w:after="0"/>
              <w:rPr>
                <w:rFonts w:ascii="Arial" w:eastAsia="Times New Roman" w:hAnsi="Arial" w:cs="Arial"/>
                <w:sz w:val="20"/>
                <w:szCs w:val="20"/>
                <w:lang w:eastAsia="de-DE"/>
              </w:rPr>
            </w:pPr>
          </w:p>
        </w:tc>
        <w:tc>
          <w:tcPr>
            <w:tcW w:w="0" w:type="auto"/>
            <w:gridSpan w:val="2"/>
            <w:tcBorders>
              <w:left w:val="single" w:sz="6" w:space="0" w:color="000000"/>
              <w:right w:val="single" w:sz="6" w:space="0" w:color="000000"/>
            </w:tcBorders>
            <w:vAlign w:val="center"/>
            <w:hideMark/>
          </w:tcPr>
          <w:p w14:paraId="13D9C30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ascii="Arial" w:eastAsia="Times New Roman" w:hAnsi="Arial" w:cs="Arial"/>
                <w:sz w:val="20"/>
                <w:szCs w:val="20"/>
                <w:lang w:eastAsia="de-DE"/>
              </w:rPr>
              <w:t>LCO1490+HCO2198</w:t>
            </w:r>
          </w:p>
        </w:tc>
        <w:tc>
          <w:tcPr>
            <w:tcW w:w="0" w:type="auto"/>
            <w:gridSpan w:val="2"/>
            <w:tcBorders>
              <w:right w:val="single" w:sz="6" w:space="0" w:color="000000"/>
            </w:tcBorders>
            <w:vAlign w:val="center"/>
            <w:hideMark/>
          </w:tcPr>
          <w:p w14:paraId="241BD2AA"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ascii="Arial" w:eastAsia="Times New Roman" w:hAnsi="Arial" w:cs="Arial"/>
                <w:sz w:val="20"/>
                <w:szCs w:val="20"/>
                <w:lang w:eastAsia="de-DE"/>
              </w:rPr>
              <w:t>16S ins</w:t>
            </w:r>
          </w:p>
        </w:tc>
        <w:tc>
          <w:tcPr>
            <w:tcW w:w="0" w:type="auto"/>
            <w:gridSpan w:val="2"/>
            <w:vAlign w:val="center"/>
            <w:hideMark/>
          </w:tcPr>
          <w:p w14:paraId="5A6D858B"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ascii="Arial" w:eastAsia="Times New Roman" w:hAnsi="Arial" w:cs="Arial"/>
                <w:sz w:val="20"/>
                <w:szCs w:val="20"/>
                <w:lang w:eastAsia="de-DE"/>
              </w:rPr>
              <w:t>BF2+BR2</w:t>
            </w:r>
          </w:p>
        </w:tc>
        <w:tc>
          <w:tcPr>
            <w:tcW w:w="0" w:type="auto"/>
            <w:gridSpan w:val="2"/>
            <w:tcBorders>
              <w:left w:val="single" w:sz="6" w:space="0" w:color="000000"/>
              <w:right w:val="single" w:sz="6" w:space="0" w:color="000000"/>
            </w:tcBorders>
            <w:vAlign w:val="center"/>
            <w:hideMark/>
          </w:tcPr>
          <w:p w14:paraId="36A911C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BF2+BR1</w:t>
            </w:r>
          </w:p>
        </w:tc>
        <w:tc>
          <w:tcPr>
            <w:tcW w:w="0" w:type="auto"/>
            <w:gridSpan w:val="2"/>
            <w:vAlign w:val="center"/>
            <w:hideMark/>
          </w:tcPr>
          <w:p w14:paraId="0F1B781A"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BF1+BR2</w:t>
            </w:r>
          </w:p>
        </w:tc>
        <w:tc>
          <w:tcPr>
            <w:tcW w:w="0" w:type="auto"/>
            <w:gridSpan w:val="2"/>
            <w:tcBorders>
              <w:left w:val="single" w:sz="6" w:space="0" w:color="000000"/>
              <w:right w:val="single" w:sz="6" w:space="0" w:color="000000"/>
            </w:tcBorders>
            <w:vAlign w:val="center"/>
            <w:hideMark/>
          </w:tcPr>
          <w:p w14:paraId="2BDB4681"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BF1+BR1</w:t>
            </w:r>
          </w:p>
        </w:tc>
      </w:tr>
      <w:tr w:rsidR="00C5328C" w:rsidRPr="00C5328C" w14:paraId="04504495" w14:textId="77777777" w:rsidTr="00C5328C">
        <w:trPr>
          <w:trHeight w:val="440"/>
          <w:tblCellSpacing w:w="0" w:type="dxa"/>
        </w:trPr>
        <w:tc>
          <w:tcPr>
            <w:tcW w:w="0" w:type="auto"/>
            <w:vAlign w:val="center"/>
            <w:hideMark/>
          </w:tcPr>
          <w:p w14:paraId="435752AF" w14:textId="77777777" w:rsidR="00C5328C" w:rsidRPr="00C5328C" w:rsidRDefault="00C5328C" w:rsidP="00C5328C">
            <w:pPr>
              <w:spacing w:before="0" w:after="0"/>
              <w:rPr>
                <w:rFonts w:ascii="Arial" w:eastAsia="Times New Roman" w:hAnsi="Arial" w:cs="Arial"/>
                <w:sz w:val="20"/>
                <w:szCs w:val="20"/>
                <w:lang w:eastAsia="de-DE"/>
              </w:rPr>
            </w:pPr>
          </w:p>
        </w:tc>
        <w:tc>
          <w:tcPr>
            <w:tcW w:w="0" w:type="auto"/>
            <w:vAlign w:val="center"/>
            <w:hideMark/>
          </w:tcPr>
          <w:p w14:paraId="080BCA9C" w14:textId="77777777" w:rsidR="00C5328C" w:rsidRPr="00C5328C" w:rsidRDefault="00C5328C" w:rsidP="00C5328C">
            <w:pPr>
              <w:spacing w:before="0" w:after="0"/>
              <w:jc w:val="center"/>
              <w:rPr>
                <w:rFonts w:ascii="Arial" w:eastAsia="Times New Roman" w:hAnsi="Arial" w:cs="Arial"/>
                <w:sz w:val="20"/>
                <w:szCs w:val="20"/>
                <w:lang w:eastAsia="de-DE"/>
              </w:rPr>
            </w:pPr>
          </w:p>
        </w:tc>
        <w:tc>
          <w:tcPr>
            <w:tcW w:w="0" w:type="auto"/>
            <w:tcBorders>
              <w:left w:val="single" w:sz="6" w:space="0" w:color="000000"/>
            </w:tcBorders>
            <w:vAlign w:val="center"/>
            <w:hideMark/>
          </w:tcPr>
          <w:p w14:paraId="47687DA4"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ascii="Arial" w:eastAsia="Times New Roman" w:hAnsi="Arial" w:cs="Arial"/>
                <w:sz w:val="20"/>
                <w:szCs w:val="20"/>
                <w:lang w:eastAsia="de-DE"/>
              </w:rPr>
              <w:t>7</w:t>
            </w:r>
          </w:p>
        </w:tc>
        <w:tc>
          <w:tcPr>
            <w:tcW w:w="0" w:type="auto"/>
            <w:tcBorders>
              <w:right w:val="single" w:sz="6" w:space="0" w:color="000000"/>
            </w:tcBorders>
            <w:vAlign w:val="center"/>
            <w:hideMark/>
          </w:tcPr>
          <w:p w14:paraId="0EA8D48C"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(88%)</w:t>
            </w:r>
          </w:p>
        </w:tc>
        <w:tc>
          <w:tcPr>
            <w:tcW w:w="0" w:type="auto"/>
            <w:vAlign w:val="center"/>
            <w:hideMark/>
          </w:tcPr>
          <w:p w14:paraId="7DEEBBC6"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tcBorders>
              <w:right w:val="single" w:sz="6" w:space="0" w:color="000000"/>
            </w:tcBorders>
            <w:vAlign w:val="center"/>
            <w:hideMark/>
          </w:tcPr>
          <w:p w14:paraId="4AA68E9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72BA2E9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vAlign w:val="center"/>
            <w:hideMark/>
          </w:tcPr>
          <w:p w14:paraId="6B9B60D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42DE818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tcBorders>
              <w:right w:val="single" w:sz="6" w:space="0" w:color="000000"/>
            </w:tcBorders>
            <w:vAlign w:val="center"/>
            <w:hideMark/>
          </w:tcPr>
          <w:p w14:paraId="6D1CE4A6"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087C99C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vAlign w:val="center"/>
            <w:hideMark/>
          </w:tcPr>
          <w:p w14:paraId="2F237F3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7FD455B7"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tcBorders>
              <w:right w:val="single" w:sz="6" w:space="0" w:color="000000"/>
            </w:tcBorders>
            <w:vAlign w:val="center"/>
            <w:hideMark/>
          </w:tcPr>
          <w:p w14:paraId="0FE94D89"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r>
      <w:tr w:rsidR="00C5328C" w:rsidRPr="00C5328C" w14:paraId="400745A5" w14:textId="77777777" w:rsidTr="00C5328C">
        <w:trPr>
          <w:trHeight w:val="440"/>
          <w:tblCellSpacing w:w="0" w:type="dxa"/>
        </w:trPr>
        <w:tc>
          <w:tcPr>
            <w:tcW w:w="0" w:type="auto"/>
            <w:vAlign w:val="center"/>
            <w:hideMark/>
          </w:tcPr>
          <w:p w14:paraId="1663CA5E" w14:textId="77777777" w:rsidR="00C5328C" w:rsidRPr="00C5328C" w:rsidRDefault="00C5328C" w:rsidP="00C5328C">
            <w:pPr>
              <w:spacing w:before="0" w:after="0"/>
              <w:rPr>
                <w:rFonts w:ascii="Arial" w:eastAsia="Times New Roman" w:hAnsi="Arial" w:cs="Arial"/>
                <w:sz w:val="20"/>
                <w:szCs w:val="20"/>
                <w:lang w:eastAsia="de-DE"/>
              </w:rPr>
            </w:pPr>
            <w:proofErr w:type="spellStart"/>
            <w:r w:rsidRPr="00C5328C">
              <w:rPr>
                <w:rFonts w:ascii="Arial" w:eastAsia="Times New Roman" w:hAnsi="Arial" w:cs="Arial"/>
                <w:sz w:val="20"/>
                <w:szCs w:val="20"/>
                <w:lang w:eastAsia="de-DE"/>
              </w:rPr>
              <w:t>Plecoptera</w:t>
            </w:r>
            <w:proofErr w:type="spellEnd"/>
          </w:p>
        </w:tc>
        <w:tc>
          <w:tcPr>
            <w:tcW w:w="0" w:type="auto"/>
            <w:vAlign w:val="center"/>
            <w:hideMark/>
          </w:tcPr>
          <w:p w14:paraId="0D574182"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b/>
                <w:bCs/>
                <w:sz w:val="20"/>
                <w:szCs w:val="20"/>
                <w:lang w:eastAsia="de-DE"/>
              </w:rPr>
              <w:t>4</w:t>
            </w:r>
          </w:p>
        </w:tc>
        <w:tc>
          <w:tcPr>
            <w:tcW w:w="0" w:type="auto"/>
            <w:tcBorders>
              <w:left w:val="single" w:sz="6" w:space="0" w:color="000000"/>
            </w:tcBorders>
            <w:vAlign w:val="center"/>
            <w:hideMark/>
          </w:tcPr>
          <w:p w14:paraId="6778C50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w:t>
            </w:r>
          </w:p>
        </w:tc>
        <w:tc>
          <w:tcPr>
            <w:tcW w:w="0" w:type="auto"/>
            <w:tcBorders>
              <w:right w:val="single" w:sz="6" w:space="0" w:color="000000"/>
            </w:tcBorders>
            <w:vAlign w:val="center"/>
            <w:hideMark/>
          </w:tcPr>
          <w:p w14:paraId="1F2BB59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6AE190E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w:t>
            </w:r>
          </w:p>
        </w:tc>
        <w:tc>
          <w:tcPr>
            <w:tcW w:w="0" w:type="auto"/>
            <w:tcBorders>
              <w:right w:val="single" w:sz="6" w:space="0" w:color="000000"/>
            </w:tcBorders>
            <w:vAlign w:val="center"/>
            <w:hideMark/>
          </w:tcPr>
          <w:p w14:paraId="6A81F411"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167D28E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w:t>
            </w:r>
          </w:p>
        </w:tc>
        <w:tc>
          <w:tcPr>
            <w:tcW w:w="0" w:type="auto"/>
            <w:vAlign w:val="center"/>
            <w:hideMark/>
          </w:tcPr>
          <w:p w14:paraId="5A9657D7"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54B4C8F7"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w:t>
            </w:r>
          </w:p>
        </w:tc>
        <w:tc>
          <w:tcPr>
            <w:tcW w:w="0" w:type="auto"/>
            <w:tcBorders>
              <w:right w:val="single" w:sz="6" w:space="0" w:color="000000"/>
            </w:tcBorders>
            <w:vAlign w:val="center"/>
            <w:hideMark/>
          </w:tcPr>
          <w:p w14:paraId="368EA13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18CBB3F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w:t>
            </w:r>
          </w:p>
        </w:tc>
        <w:tc>
          <w:tcPr>
            <w:tcW w:w="0" w:type="auto"/>
            <w:vAlign w:val="center"/>
            <w:hideMark/>
          </w:tcPr>
          <w:p w14:paraId="59C4D829"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6FA5824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w:t>
            </w:r>
          </w:p>
        </w:tc>
        <w:tc>
          <w:tcPr>
            <w:tcW w:w="0" w:type="auto"/>
            <w:tcBorders>
              <w:right w:val="single" w:sz="6" w:space="0" w:color="000000"/>
            </w:tcBorders>
            <w:vAlign w:val="center"/>
            <w:hideMark/>
          </w:tcPr>
          <w:p w14:paraId="3B83880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r>
      <w:tr w:rsidR="00C5328C" w:rsidRPr="00C5328C" w14:paraId="63B3F4D9" w14:textId="77777777" w:rsidTr="00C5328C">
        <w:trPr>
          <w:trHeight w:val="440"/>
          <w:tblCellSpacing w:w="0" w:type="dxa"/>
        </w:trPr>
        <w:tc>
          <w:tcPr>
            <w:tcW w:w="0" w:type="auto"/>
            <w:vAlign w:val="center"/>
            <w:hideMark/>
          </w:tcPr>
          <w:p w14:paraId="7207AC7F" w14:textId="77777777" w:rsidR="00C5328C" w:rsidRPr="00C5328C" w:rsidRDefault="00C5328C" w:rsidP="00C5328C">
            <w:pPr>
              <w:spacing w:before="0" w:after="0"/>
              <w:rPr>
                <w:rFonts w:ascii="Arial" w:eastAsia="Times New Roman" w:hAnsi="Arial" w:cs="Arial"/>
                <w:sz w:val="20"/>
                <w:szCs w:val="20"/>
                <w:lang w:eastAsia="de-DE"/>
              </w:rPr>
            </w:pPr>
            <w:proofErr w:type="spellStart"/>
            <w:r w:rsidRPr="00C5328C">
              <w:rPr>
                <w:rFonts w:ascii="Arial" w:eastAsia="Times New Roman" w:hAnsi="Arial" w:cs="Arial"/>
                <w:sz w:val="20"/>
                <w:szCs w:val="20"/>
                <w:lang w:eastAsia="de-DE"/>
              </w:rPr>
              <w:t>Trichoptera</w:t>
            </w:r>
            <w:proofErr w:type="spellEnd"/>
          </w:p>
        </w:tc>
        <w:tc>
          <w:tcPr>
            <w:tcW w:w="0" w:type="auto"/>
            <w:vAlign w:val="center"/>
            <w:hideMark/>
          </w:tcPr>
          <w:p w14:paraId="2B717102"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b/>
                <w:bCs/>
                <w:sz w:val="20"/>
                <w:szCs w:val="20"/>
                <w:lang w:eastAsia="de-DE"/>
              </w:rPr>
              <w:t>15</w:t>
            </w:r>
          </w:p>
        </w:tc>
        <w:tc>
          <w:tcPr>
            <w:tcW w:w="0" w:type="auto"/>
            <w:tcBorders>
              <w:left w:val="single" w:sz="6" w:space="0" w:color="000000"/>
            </w:tcBorders>
            <w:vAlign w:val="center"/>
            <w:hideMark/>
          </w:tcPr>
          <w:p w14:paraId="3A0930B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13</w:t>
            </w:r>
          </w:p>
        </w:tc>
        <w:tc>
          <w:tcPr>
            <w:tcW w:w="0" w:type="auto"/>
            <w:tcBorders>
              <w:right w:val="single" w:sz="6" w:space="0" w:color="000000"/>
            </w:tcBorders>
            <w:vAlign w:val="center"/>
            <w:hideMark/>
          </w:tcPr>
          <w:p w14:paraId="0D9ED844"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(86%)</w:t>
            </w:r>
          </w:p>
        </w:tc>
        <w:tc>
          <w:tcPr>
            <w:tcW w:w="0" w:type="auto"/>
            <w:vAlign w:val="center"/>
            <w:hideMark/>
          </w:tcPr>
          <w:p w14:paraId="21DB5EE1"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15</w:t>
            </w:r>
          </w:p>
        </w:tc>
        <w:tc>
          <w:tcPr>
            <w:tcW w:w="0" w:type="auto"/>
            <w:tcBorders>
              <w:right w:val="single" w:sz="6" w:space="0" w:color="000000"/>
            </w:tcBorders>
            <w:vAlign w:val="center"/>
            <w:hideMark/>
          </w:tcPr>
          <w:p w14:paraId="77D39DB9"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0C56C70F"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15</w:t>
            </w:r>
          </w:p>
        </w:tc>
        <w:tc>
          <w:tcPr>
            <w:tcW w:w="0" w:type="auto"/>
            <w:vAlign w:val="center"/>
            <w:hideMark/>
          </w:tcPr>
          <w:p w14:paraId="781F3FDF"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61E23B6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15</w:t>
            </w:r>
          </w:p>
        </w:tc>
        <w:tc>
          <w:tcPr>
            <w:tcW w:w="0" w:type="auto"/>
            <w:tcBorders>
              <w:right w:val="single" w:sz="6" w:space="0" w:color="000000"/>
            </w:tcBorders>
            <w:vAlign w:val="center"/>
            <w:hideMark/>
          </w:tcPr>
          <w:p w14:paraId="3F0DE61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1341BE81"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15</w:t>
            </w:r>
          </w:p>
        </w:tc>
        <w:tc>
          <w:tcPr>
            <w:tcW w:w="0" w:type="auto"/>
            <w:vAlign w:val="center"/>
            <w:hideMark/>
          </w:tcPr>
          <w:p w14:paraId="5C3617C7"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223B20FC"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15</w:t>
            </w:r>
          </w:p>
        </w:tc>
        <w:tc>
          <w:tcPr>
            <w:tcW w:w="0" w:type="auto"/>
            <w:tcBorders>
              <w:right w:val="single" w:sz="6" w:space="0" w:color="000000"/>
            </w:tcBorders>
            <w:vAlign w:val="center"/>
            <w:hideMark/>
          </w:tcPr>
          <w:p w14:paraId="516D286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r>
      <w:tr w:rsidR="00C5328C" w:rsidRPr="00C5328C" w14:paraId="62499B26" w14:textId="77777777" w:rsidTr="00C5328C">
        <w:trPr>
          <w:trHeight w:val="440"/>
          <w:tblCellSpacing w:w="0" w:type="dxa"/>
        </w:trPr>
        <w:tc>
          <w:tcPr>
            <w:tcW w:w="0" w:type="auto"/>
            <w:vAlign w:val="center"/>
            <w:hideMark/>
          </w:tcPr>
          <w:p w14:paraId="09C50539" w14:textId="77777777" w:rsidR="00C5328C" w:rsidRPr="00C5328C" w:rsidRDefault="00C5328C" w:rsidP="00C5328C">
            <w:pPr>
              <w:spacing w:before="0" w:after="0"/>
              <w:rPr>
                <w:rFonts w:ascii="Arial" w:eastAsia="Times New Roman" w:hAnsi="Arial" w:cs="Arial"/>
                <w:sz w:val="20"/>
                <w:szCs w:val="20"/>
                <w:lang w:eastAsia="de-DE"/>
              </w:rPr>
            </w:pPr>
            <w:proofErr w:type="spellStart"/>
            <w:r w:rsidRPr="00C5328C">
              <w:rPr>
                <w:rFonts w:ascii="Arial" w:eastAsia="Times New Roman" w:hAnsi="Arial" w:cs="Arial"/>
                <w:sz w:val="20"/>
                <w:szCs w:val="20"/>
                <w:lang w:eastAsia="de-DE"/>
              </w:rPr>
              <w:t>Diptera</w:t>
            </w:r>
            <w:proofErr w:type="spellEnd"/>
          </w:p>
        </w:tc>
        <w:tc>
          <w:tcPr>
            <w:tcW w:w="0" w:type="auto"/>
            <w:vAlign w:val="center"/>
            <w:hideMark/>
          </w:tcPr>
          <w:p w14:paraId="66660DC2"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b/>
                <w:bCs/>
                <w:sz w:val="20"/>
                <w:szCs w:val="20"/>
                <w:lang w:eastAsia="de-DE"/>
              </w:rPr>
              <w:t>8</w:t>
            </w:r>
          </w:p>
        </w:tc>
        <w:tc>
          <w:tcPr>
            <w:tcW w:w="0" w:type="auto"/>
            <w:tcBorders>
              <w:left w:val="single" w:sz="6" w:space="0" w:color="000000"/>
            </w:tcBorders>
            <w:vAlign w:val="center"/>
            <w:hideMark/>
          </w:tcPr>
          <w:p w14:paraId="742AB23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w:t>
            </w:r>
          </w:p>
        </w:tc>
        <w:tc>
          <w:tcPr>
            <w:tcW w:w="0" w:type="auto"/>
            <w:tcBorders>
              <w:right w:val="single" w:sz="6" w:space="0" w:color="000000"/>
            </w:tcBorders>
            <w:vAlign w:val="center"/>
            <w:hideMark/>
          </w:tcPr>
          <w:p w14:paraId="25034FDB"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(88%)</w:t>
            </w:r>
          </w:p>
        </w:tc>
        <w:tc>
          <w:tcPr>
            <w:tcW w:w="0" w:type="auto"/>
            <w:vAlign w:val="center"/>
            <w:hideMark/>
          </w:tcPr>
          <w:p w14:paraId="0B1B4BD2"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w:t>
            </w:r>
          </w:p>
        </w:tc>
        <w:tc>
          <w:tcPr>
            <w:tcW w:w="0" w:type="auto"/>
            <w:tcBorders>
              <w:right w:val="single" w:sz="6" w:space="0" w:color="000000"/>
            </w:tcBorders>
            <w:vAlign w:val="center"/>
            <w:hideMark/>
          </w:tcPr>
          <w:p w14:paraId="313860C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(88%)</w:t>
            </w:r>
          </w:p>
        </w:tc>
        <w:tc>
          <w:tcPr>
            <w:tcW w:w="0" w:type="auto"/>
            <w:vAlign w:val="center"/>
            <w:hideMark/>
          </w:tcPr>
          <w:p w14:paraId="5AE6641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vAlign w:val="center"/>
            <w:hideMark/>
          </w:tcPr>
          <w:p w14:paraId="539A114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5896C676"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tcBorders>
              <w:right w:val="single" w:sz="6" w:space="0" w:color="000000"/>
            </w:tcBorders>
            <w:vAlign w:val="center"/>
            <w:hideMark/>
          </w:tcPr>
          <w:p w14:paraId="2B4870A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1515F9E7"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vAlign w:val="center"/>
            <w:hideMark/>
          </w:tcPr>
          <w:p w14:paraId="0720E0D9"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135E94B7"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w:t>
            </w:r>
          </w:p>
        </w:tc>
        <w:tc>
          <w:tcPr>
            <w:tcW w:w="0" w:type="auto"/>
            <w:tcBorders>
              <w:right w:val="single" w:sz="6" w:space="0" w:color="000000"/>
            </w:tcBorders>
            <w:vAlign w:val="center"/>
            <w:hideMark/>
          </w:tcPr>
          <w:p w14:paraId="2E7BE69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r>
      <w:tr w:rsidR="00C5328C" w:rsidRPr="00C5328C" w14:paraId="30F57204" w14:textId="77777777" w:rsidTr="00C5328C">
        <w:trPr>
          <w:trHeight w:val="440"/>
          <w:tblCellSpacing w:w="0" w:type="dxa"/>
        </w:trPr>
        <w:tc>
          <w:tcPr>
            <w:tcW w:w="0" w:type="auto"/>
            <w:vAlign w:val="center"/>
            <w:hideMark/>
          </w:tcPr>
          <w:p w14:paraId="3CD1E369" w14:textId="77777777" w:rsidR="00C5328C" w:rsidRPr="00C5328C" w:rsidRDefault="00C5328C" w:rsidP="00C5328C">
            <w:pPr>
              <w:spacing w:before="0" w:after="0"/>
              <w:rPr>
                <w:rFonts w:ascii="Arial" w:eastAsia="Times New Roman" w:hAnsi="Arial" w:cs="Arial"/>
                <w:sz w:val="20"/>
                <w:szCs w:val="20"/>
                <w:lang w:eastAsia="de-DE"/>
              </w:rPr>
            </w:pPr>
            <w:r w:rsidRPr="00C5328C">
              <w:rPr>
                <w:rFonts w:ascii="Arial" w:eastAsia="Times New Roman" w:hAnsi="Arial" w:cs="Arial"/>
                <w:sz w:val="20"/>
                <w:szCs w:val="20"/>
                <w:lang w:eastAsia="de-DE"/>
              </w:rPr>
              <w:t>Other insects</w:t>
            </w:r>
          </w:p>
        </w:tc>
        <w:tc>
          <w:tcPr>
            <w:tcW w:w="0" w:type="auto"/>
            <w:vAlign w:val="center"/>
            <w:hideMark/>
          </w:tcPr>
          <w:p w14:paraId="5B0E0E7B"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b/>
                <w:bCs/>
                <w:sz w:val="20"/>
                <w:szCs w:val="20"/>
                <w:lang w:eastAsia="de-DE"/>
              </w:rPr>
              <w:t>7</w:t>
            </w:r>
          </w:p>
        </w:tc>
        <w:tc>
          <w:tcPr>
            <w:tcW w:w="0" w:type="auto"/>
            <w:tcBorders>
              <w:left w:val="single" w:sz="6" w:space="0" w:color="000000"/>
            </w:tcBorders>
            <w:vAlign w:val="center"/>
            <w:hideMark/>
          </w:tcPr>
          <w:p w14:paraId="454E6EA2"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w:t>
            </w:r>
          </w:p>
        </w:tc>
        <w:tc>
          <w:tcPr>
            <w:tcW w:w="0" w:type="auto"/>
            <w:tcBorders>
              <w:right w:val="single" w:sz="6" w:space="0" w:color="000000"/>
            </w:tcBorders>
            <w:vAlign w:val="center"/>
            <w:hideMark/>
          </w:tcPr>
          <w:p w14:paraId="6CF7108B"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5D42A09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w:t>
            </w:r>
          </w:p>
        </w:tc>
        <w:tc>
          <w:tcPr>
            <w:tcW w:w="0" w:type="auto"/>
            <w:tcBorders>
              <w:right w:val="single" w:sz="6" w:space="0" w:color="000000"/>
            </w:tcBorders>
            <w:vAlign w:val="center"/>
            <w:hideMark/>
          </w:tcPr>
          <w:p w14:paraId="60171FCF"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722C446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w:t>
            </w:r>
          </w:p>
        </w:tc>
        <w:tc>
          <w:tcPr>
            <w:tcW w:w="0" w:type="auto"/>
            <w:vAlign w:val="center"/>
            <w:hideMark/>
          </w:tcPr>
          <w:p w14:paraId="274A0FF2"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5F52849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w:t>
            </w:r>
          </w:p>
        </w:tc>
        <w:tc>
          <w:tcPr>
            <w:tcW w:w="0" w:type="auto"/>
            <w:tcBorders>
              <w:right w:val="single" w:sz="6" w:space="0" w:color="000000"/>
            </w:tcBorders>
            <w:vAlign w:val="center"/>
            <w:hideMark/>
          </w:tcPr>
          <w:p w14:paraId="7BB662BC"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1EF6AF20"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w:t>
            </w:r>
          </w:p>
        </w:tc>
        <w:tc>
          <w:tcPr>
            <w:tcW w:w="0" w:type="auto"/>
            <w:vAlign w:val="center"/>
            <w:hideMark/>
          </w:tcPr>
          <w:p w14:paraId="78A9169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09D4B95C"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6</w:t>
            </w:r>
          </w:p>
        </w:tc>
        <w:tc>
          <w:tcPr>
            <w:tcW w:w="0" w:type="auto"/>
            <w:tcBorders>
              <w:right w:val="single" w:sz="6" w:space="0" w:color="000000"/>
            </w:tcBorders>
            <w:vAlign w:val="center"/>
            <w:hideMark/>
          </w:tcPr>
          <w:p w14:paraId="40D7C6E1"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(86%)</w:t>
            </w:r>
          </w:p>
        </w:tc>
      </w:tr>
      <w:tr w:rsidR="00C5328C" w:rsidRPr="00C5328C" w14:paraId="51BC309C" w14:textId="77777777" w:rsidTr="00C5328C">
        <w:trPr>
          <w:trHeight w:val="440"/>
          <w:tblCellSpacing w:w="0" w:type="dxa"/>
        </w:trPr>
        <w:tc>
          <w:tcPr>
            <w:tcW w:w="0" w:type="auto"/>
            <w:vAlign w:val="center"/>
            <w:hideMark/>
          </w:tcPr>
          <w:p w14:paraId="5323D9D8" w14:textId="77777777" w:rsidR="00C5328C" w:rsidRPr="00C5328C" w:rsidRDefault="00C5328C" w:rsidP="00C5328C">
            <w:pPr>
              <w:spacing w:before="0" w:after="0"/>
              <w:rPr>
                <w:rFonts w:ascii="Arial" w:eastAsia="Times New Roman" w:hAnsi="Arial" w:cs="Arial"/>
                <w:sz w:val="20"/>
                <w:szCs w:val="20"/>
                <w:lang w:eastAsia="de-DE"/>
              </w:rPr>
            </w:pPr>
            <w:r w:rsidRPr="00C5328C">
              <w:rPr>
                <w:rFonts w:ascii="Arial" w:eastAsia="Times New Roman" w:hAnsi="Arial" w:cs="Arial"/>
                <w:sz w:val="20"/>
                <w:szCs w:val="20"/>
                <w:lang w:eastAsia="de-DE"/>
              </w:rPr>
              <w:t xml:space="preserve">Other </w:t>
            </w:r>
            <w:proofErr w:type="spellStart"/>
            <w:r w:rsidRPr="00C5328C">
              <w:rPr>
                <w:rFonts w:ascii="Arial" w:eastAsia="Times New Roman" w:hAnsi="Arial" w:cs="Arial"/>
                <w:sz w:val="20"/>
                <w:szCs w:val="20"/>
                <w:lang w:eastAsia="de-DE"/>
              </w:rPr>
              <w:t>metazoa</w:t>
            </w:r>
            <w:proofErr w:type="spellEnd"/>
          </w:p>
        </w:tc>
        <w:tc>
          <w:tcPr>
            <w:tcW w:w="0" w:type="auto"/>
            <w:vAlign w:val="center"/>
            <w:hideMark/>
          </w:tcPr>
          <w:p w14:paraId="21691DD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b/>
                <w:bCs/>
                <w:sz w:val="20"/>
                <w:szCs w:val="20"/>
                <w:lang w:eastAsia="de-DE"/>
              </w:rPr>
              <w:t>10</w:t>
            </w:r>
          </w:p>
        </w:tc>
        <w:tc>
          <w:tcPr>
            <w:tcW w:w="0" w:type="auto"/>
            <w:tcBorders>
              <w:left w:val="single" w:sz="6" w:space="0" w:color="000000"/>
            </w:tcBorders>
            <w:vAlign w:val="center"/>
            <w:hideMark/>
          </w:tcPr>
          <w:p w14:paraId="58ABA4CA"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5</w:t>
            </w:r>
          </w:p>
        </w:tc>
        <w:tc>
          <w:tcPr>
            <w:tcW w:w="0" w:type="auto"/>
            <w:tcBorders>
              <w:right w:val="single" w:sz="6" w:space="0" w:color="000000"/>
            </w:tcBorders>
            <w:vAlign w:val="center"/>
            <w:hideMark/>
          </w:tcPr>
          <w:p w14:paraId="4BDDBCB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(50%)</w:t>
            </w:r>
          </w:p>
        </w:tc>
        <w:tc>
          <w:tcPr>
            <w:tcW w:w="0" w:type="auto"/>
            <w:vAlign w:val="center"/>
            <w:hideMark/>
          </w:tcPr>
          <w:p w14:paraId="149E72F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2</w:t>
            </w:r>
          </w:p>
        </w:tc>
        <w:tc>
          <w:tcPr>
            <w:tcW w:w="0" w:type="auto"/>
            <w:tcBorders>
              <w:right w:val="single" w:sz="6" w:space="0" w:color="000000"/>
            </w:tcBorders>
            <w:vAlign w:val="center"/>
            <w:hideMark/>
          </w:tcPr>
          <w:p w14:paraId="1DACE1BF"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(20%)</w:t>
            </w:r>
          </w:p>
        </w:tc>
        <w:tc>
          <w:tcPr>
            <w:tcW w:w="0" w:type="auto"/>
            <w:vAlign w:val="center"/>
            <w:hideMark/>
          </w:tcPr>
          <w:p w14:paraId="0C5D0D7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w:t>
            </w:r>
          </w:p>
        </w:tc>
        <w:tc>
          <w:tcPr>
            <w:tcW w:w="0" w:type="auto"/>
            <w:vAlign w:val="center"/>
            <w:hideMark/>
          </w:tcPr>
          <w:p w14:paraId="68DA671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(70%)</w:t>
            </w:r>
          </w:p>
        </w:tc>
        <w:tc>
          <w:tcPr>
            <w:tcW w:w="0" w:type="auto"/>
            <w:tcBorders>
              <w:left w:val="single" w:sz="6" w:space="0" w:color="000000"/>
            </w:tcBorders>
            <w:vAlign w:val="center"/>
            <w:hideMark/>
          </w:tcPr>
          <w:p w14:paraId="1DB1EDE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6</w:t>
            </w:r>
          </w:p>
        </w:tc>
        <w:tc>
          <w:tcPr>
            <w:tcW w:w="0" w:type="auto"/>
            <w:tcBorders>
              <w:right w:val="single" w:sz="6" w:space="0" w:color="000000"/>
            </w:tcBorders>
            <w:vAlign w:val="center"/>
            <w:hideMark/>
          </w:tcPr>
          <w:p w14:paraId="4E002C6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(60%)</w:t>
            </w:r>
          </w:p>
        </w:tc>
        <w:tc>
          <w:tcPr>
            <w:tcW w:w="0" w:type="auto"/>
            <w:vAlign w:val="center"/>
            <w:hideMark/>
          </w:tcPr>
          <w:p w14:paraId="77B54150"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9</w:t>
            </w:r>
          </w:p>
        </w:tc>
        <w:tc>
          <w:tcPr>
            <w:tcW w:w="0" w:type="auto"/>
            <w:vAlign w:val="center"/>
            <w:hideMark/>
          </w:tcPr>
          <w:p w14:paraId="7F97939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 xml:space="preserve">(90%) </w:t>
            </w:r>
          </w:p>
        </w:tc>
        <w:tc>
          <w:tcPr>
            <w:tcW w:w="0" w:type="auto"/>
            <w:tcBorders>
              <w:left w:val="single" w:sz="6" w:space="0" w:color="000000"/>
            </w:tcBorders>
            <w:vAlign w:val="center"/>
            <w:hideMark/>
          </w:tcPr>
          <w:p w14:paraId="7506200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6</w:t>
            </w:r>
          </w:p>
        </w:tc>
        <w:tc>
          <w:tcPr>
            <w:tcW w:w="0" w:type="auto"/>
            <w:tcBorders>
              <w:right w:val="single" w:sz="6" w:space="0" w:color="000000"/>
            </w:tcBorders>
            <w:vAlign w:val="center"/>
            <w:hideMark/>
          </w:tcPr>
          <w:p w14:paraId="0707CFD1"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(60%)</w:t>
            </w:r>
          </w:p>
        </w:tc>
      </w:tr>
      <w:tr w:rsidR="00C5328C" w:rsidRPr="00C5328C" w14:paraId="213AFA44" w14:textId="77777777" w:rsidTr="00C5328C">
        <w:trPr>
          <w:trHeight w:val="440"/>
          <w:tblCellSpacing w:w="0" w:type="dxa"/>
        </w:trPr>
        <w:tc>
          <w:tcPr>
            <w:tcW w:w="0" w:type="auto"/>
            <w:vAlign w:val="center"/>
            <w:hideMark/>
          </w:tcPr>
          <w:p w14:paraId="3BA1A68A" w14:textId="77777777" w:rsidR="00C5328C" w:rsidRPr="00C5328C" w:rsidRDefault="00C5328C" w:rsidP="00C5328C">
            <w:pPr>
              <w:spacing w:before="0" w:after="0"/>
              <w:rPr>
                <w:rFonts w:ascii="Arial" w:eastAsia="Times New Roman" w:hAnsi="Arial" w:cs="Arial"/>
                <w:sz w:val="20"/>
                <w:szCs w:val="20"/>
                <w:lang w:eastAsia="de-DE"/>
              </w:rPr>
            </w:pPr>
            <w:r w:rsidRPr="00C5328C">
              <w:rPr>
                <w:rFonts w:ascii="Times New Roman Greek" w:eastAsia="Times New Roman" w:hAnsi="Times New Roman Greek" w:cs="Arial"/>
                <w:sz w:val="20"/>
                <w:szCs w:val="20"/>
                <w:lang w:eastAsia="de-DE"/>
              </w:rPr>
              <w:t>Σ All insects</w:t>
            </w:r>
          </w:p>
        </w:tc>
        <w:tc>
          <w:tcPr>
            <w:tcW w:w="0" w:type="auto"/>
            <w:vAlign w:val="center"/>
            <w:hideMark/>
          </w:tcPr>
          <w:p w14:paraId="437EDC1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b/>
                <w:bCs/>
                <w:sz w:val="20"/>
                <w:szCs w:val="20"/>
                <w:lang w:eastAsia="de-DE"/>
              </w:rPr>
              <w:t>42</w:t>
            </w:r>
          </w:p>
        </w:tc>
        <w:tc>
          <w:tcPr>
            <w:tcW w:w="0" w:type="auto"/>
            <w:tcBorders>
              <w:left w:val="single" w:sz="6" w:space="0" w:color="000000"/>
            </w:tcBorders>
            <w:vAlign w:val="center"/>
            <w:hideMark/>
          </w:tcPr>
          <w:p w14:paraId="74CF388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38</w:t>
            </w:r>
          </w:p>
        </w:tc>
        <w:tc>
          <w:tcPr>
            <w:tcW w:w="0" w:type="auto"/>
            <w:tcBorders>
              <w:right w:val="single" w:sz="6" w:space="0" w:color="000000"/>
            </w:tcBorders>
            <w:vAlign w:val="center"/>
            <w:hideMark/>
          </w:tcPr>
          <w:p w14:paraId="4CB84D69"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(91%)</w:t>
            </w:r>
          </w:p>
        </w:tc>
        <w:tc>
          <w:tcPr>
            <w:tcW w:w="0" w:type="auto"/>
            <w:vAlign w:val="center"/>
            <w:hideMark/>
          </w:tcPr>
          <w:p w14:paraId="557EA22A"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41</w:t>
            </w:r>
          </w:p>
        </w:tc>
        <w:tc>
          <w:tcPr>
            <w:tcW w:w="0" w:type="auto"/>
            <w:tcBorders>
              <w:right w:val="single" w:sz="6" w:space="0" w:color="000000"/>
            </w:tcBorders>
            <w:vAlign w:val="center"/>
            <w:hideMark/>
          </w:tcPr>
          <w:p w14:paraId="76200A1C"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(98%)</w:t>
            </w:r>
          </w:p>
        </w:tc>
        <w:tc>
          <w:tcPr>
            <w:tcW w:w="0" w:type="auto"/>
            <w:vAlign w:val="center"/>
            <w:hideMark/>
          </w:tcPr>
          <w:p w14:paraId="4630C0B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42</w:t>
            </w:r>
          </w:p>
        </w:tc>
        <w:tc>
          <w:tcPr>
            <w:tcW w:w="0" w:type="auto"/>
            <w:vAlign w:val="center"/>
            <w:hideMark/>
          </w:tcPr>
          <w:p w14:paraId="575F1A81"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7688ACC3"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42</w:t>
            </w:r>
          </w:p>
        </w:tc>
        <w:tc>
          <w:tcPr>
            <w:tcW w:w="0" w:type="auto"/>
            <w:tcBorders>
              <w:right w:val="single" w:sz="6" w:space="0" w:color="000000"/>
            </w:tcBorders>
            <w:vAlign w:val="center"/>
            <w:hideMark/>
          </w:tcPr>
          <w:p w14:paraId="7458B63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vAlign w:val="center"/>
            <w:hideMark/>
          </w:tcPr>
          <w:p w14:paraId="0A5436A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42</w:t>
            </w:r>
          </w:p>
        </w:tc>
        <w:tc>
          <w:tcPr>
            <w:tcW w:w="0" w:type="auto"/>
            <w:vAlign w:val="center"/>
            <w:hideMark/>
          </w:tcPr>
          <w:p w14:paraId="5BC24FB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(100%)</w:t>
            </w:r>
          </w:p>
        </w:tc>
        <w:tc>
          <w:tcPr>
            <w:tcW w:w="0" w:type="auto"/>
            <w:tcBorders>
              <w:left w:val="single" w:sz="6" w:space="0" w:color="000000"/>
            </w:tcBorders>
            <w:vAlign w:val="center"/>
            <w:hideMark/>
          </w:tcPr>
          <w:p w14:paraId="4878A9D2"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41</w:t>
            </w:r>
          </w:p>
        </w:tc>
        <w:tc>
          <w:tcPr>
            <w:tcW w:w="0" w:type="auto"/>
            <w:tcBorders>
              <w:right w:val="single" w:sz="6" w:space="0" w:color="000000"/>
            </w:tcBorders>
            <w:vAlign w:val="center"/>
            <w:hideMark/>
          </w:tcPr>
          <w:p w14:paraId="5817B9A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(98%)</w:t>
            </w:r>
          </w:p>
        </w:tc>
      </w:tr>
      <w:tr w:rsidR="00C5328C" w:rsidRPr="00C5328C" w14:paraId="1F969A40" w14:textId="77777777" w:rsidTr="00C5328C">
        <w:trPr>
          <w:trHeight w:val="440"/>
          <w:tblCellSpacing w:w="0" w:type="dxa"/>
        </w:trPr>
        <w:tc>
          <w:tcPr>
            <w:tcW w:w="0" w:type="auto"/>
            <w:vAlign w:val="center"/>
            <w:hideMark/>
          </w:tcPr>
          <w:p w14:paraId="6E9FC310" w14:textId="77777777" w:rsidR="00C5328C" w:rsidRPr="00C5328C" w:rsidRDefault="00C5328C" w:rsidP="00C5328C">
            <w:pPr>
              <w:spacing w:before="0" w:after="0"/>
              <w:jc w:val="right"/>
              <w:rPr>
                <w:rFonts w:ascii="Arial" w:eastAsia="Times New Roman" w:hAnsi="Arial" w:cs="Arial"/>
                <w:sz w:val="20"/>
                <w:szCs w:val="20"/>
                <w:lang w:eastAsia="de-DE"/>
              </w:rPr>
            </w:pPr>
            <w:r w:rsidRPr="00C5328C">
              <w:rPr>
                <w:rFonts w:ascii="Arial" w:eastAsia="Times New Roman" w:hAnsi="Arial" w:cs="Arial"/>
                <w:sz w:val="20"/>
                <w:szCs w:val="20"/>
                <w:lang w:eastAsia="de-DE"/>
              </w:rPr>
              <w:t>SD*</w:t>
            </w:r>
          </w:p>
        </w:tc>
        <w:tc>
          <w:tcPr>
            <w:tcW w:w="0" w:type="auto"/>
            <w:vAlign w:val="center"/>
            <w:hideMark/>
          </w:tcPr>
          <w:p w14:paraId="020B3E25" w14:textId="77777777" w:rsidR="00C5328C" w:rsidRPr="00C5328C" w:rsidRDefault="00C5328C" w:rsidP="00C5328C">
            <w:pPr>
              <w:spacing w:before="0" w:after="0"/>
              <w:jc w:val="center"/>
              <w:rPr>
                <w:rFonts w:ascii="Arial" w:eastAsia="Times New Roman" w:hAnsi="Arial" w:cs="Arial"/>
                <w:sz w:val="20"/>
                <w:szCs w:val="20"/>
                <w:lang w:eastAsia="de-DE"/>
              </w:rPr>
            </w:pPr>
          </w:p>
        </w:tc>
        <w:tc>
          <w:tcPr>
            <w:tcW w:w="0" w:type="auto"/>
            <w:gridSpan w:val="2"/>
            <w:tcBorders>
              <w:left w:val="single" w:sz="6" w:space="0" w:color="000000"/>
              <w:right w:val="single" w:sz="6" w:space="0" w:color="000000"/>
            </w:tcBorders>
            <w:vAlign w:val="center"/>
            <w:hideMark/>
          </w:tcPr>
          <w:p w14:paraId="045BB257"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1.01</w:t>
            </w:r>
          </w:p>
        </w:tc>
        <w:tc>
          <w:tcPr>
            <w:tcW w:w="0" w:type="auto"/>
            <w:gridSpan w:val="2"/>
            <w:tcBorders>
              <w:right w:val="single" w:sz="6" w:space="0" w:color="000000"/>
            </w:tcBorders>
            <w:vAlign w:val="center"/>
            <w:hideMark/>
          </w:tcPr>
          <w:p w14:paraId="4CD55D1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0.62</w:t>
            </w:r>
          </w:p>
        </w:tc>
        <w:tc>
          <w:tcPr>
            <w:tcW w:w="0" w:type="auto"/>
            <w:gridSpan w:val="2"/>
            <w:tcBorders>
              <w:left w:val="single" w:sz="6" w:space="0" w:color="000000"/>
              <w:right w:val="single" w:sz="6" w:space="0" w:color="000000"/>
            </w:tcBorders>
            <w:vAlign w:val="center"/>
            <w:hideMark/>
          </w:tcPr>
          <w:p w14:paraId="30622A7F"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0.54</w:t>
            </w:r>
          </w:p>
        </w:tc>
        <w:tc>
          <w:tcPr>
            <w:tcW w:w="0" w:type="auto"/>
            <w:gridSpan w:val="2"/>
            <w:tcBorders>
              <w:left w:val="single" w:sz="6" w:space="0" w:color="000000"/>
              <w:right w:val="single" w:sz="6" w:space="0" w:color="000000"/>
            </w:tcBorders>
            <w:vAlign w:val="center"/>
            <w:hideMark/>
          </w:tcPr>
          <w:p w14:paraId="41051630"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0.65</w:t>
            </w:r>
          </w:p>
        </w:tc>
        <w:tc>
          <w:tcPr>
            <w:tcW w:w="0" w:type="auto"/>
            <w:gridSpan w:val="2"/>
            <w:vAlign w:val="center"/>
            <w:hideMark/>
          </w:tcPr>
          <w:p w14:paraId="7B311749"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0.71</w:t>
            </w:r>
          </w:p>
        </w:tc>
        <w:tc>
          <w:tcPr>
            <w:tcW w:w="0" w:type="auto"/>
            <w:gridSpan w:val="2"/>
            <w:tcBorders>
              <w:left w:val="single" w:sz="6" w:space="0" w:color="000000"/>
              <w:right w:val="single" w:sz="6" w:space="0" w:color="000000"/>
            </w:tcBorders>
            <w:vAlign w:val="center"/>
            <w:hideMark/>
          </w:tcPr>
          <w:p w14:paraId="2557424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0.84</w:t>
            </w:r>
          </w:p>
        </w:tc>
      </w:tr>
      <w:tr w:rsidR="00C5328C" w:rsidRPr="00C5328C" w14:paraId="12D4B293" w14:textId="77777777" w:rsidTr="00C5328C">
        <w:trPr>
          <w:trHeight w:val="440"/>
          <w:tblCellSpacing w:w="0" w:type="dxa"/>
        </w:trPr>
        <w:tc>
          <w:tcPr>
            <w:tcW w:w="0" w:type="auto"/>
            <w:vAlign w:val="center"/>
            <w:hideMark/>
          </w:tcPr>
          <w:p w14:paraId="6FA857C6" w14:textId="77777777" w:rsidR="00C5328C" w:rsidRPr="00C5328C" w:rsidRDefault="00C5328C" w:rsidP="00C5328C">
            <w:pPr>
              <w:spacing w:before="0" w:after="0"/>
              <w:jc w:val="right"/>
              <w:rPr>
                <w:rFonts w:ascii="Arial" w:eastAsia="Times New Roman" w:hAnsi="Arial" w:cs="Arial"/>
                <w:sz w:val="20"/>
                <w:szCs w:val="20"/>
                <w:lang w:eastAsia="de-DE"/>
              </w:rPr>
            </w:pPr>
            <w:r w:rsidRPr="00C5328C">
              <w:rPr>
                <w:rFonts w:ascii="Arial" w:eastAsia="Times New Roman" w:hAnsi="Arial" w:cs="Arial"/>
                <w:sz w:val="20"/>
                <w:szCs w:val="20"/>
                <w:lang w:eastAsia="de-DE"/>
              </w:rPr>
              <w:t>Precision**</w:t>
            </w:r>
          </w:p>
        </w:tc>
        <w:tc>
          <w:tcPr>
            <w:tcW w:w="0" w:type="auto"/>
            <w:vAlign w:val="center"/>
            <w:hideMark/>
          </w:tcPr>
          <w:p w14:paraId="283C2E8F" w14:textId="77777777" w:rsidR="00C5328C" w:rsidRPr="00C5328C" w:rsidRDefault="00C5328C" w:rsidP="00C5328C">
            <w:pPr>
              <w:spacing w:before="0" w:after="0"/>
              <w:jc w:val="center"/>
              <w:rPr>
                <w:rFonts w:ascii="Arial" w:eastAsia="Times New Roman" w:hAnsi="Arial" w:cs="Arial"/>
                <w:sz w:val="20"/>
                <w:szCs w:val="20"/>
                <w:lang w:eastAsia="de-DE"/>
              </w:rPr>
            </w:pPr>
          </w:p>
        </w:tc>
        <w:tc>
          <w:tcPr>
            <w:tcW w:w="0" w:type="auto"/>
            <w:gridSpan w:val="2"/>
            <w:tcBorders>
              <w:left w:val="single" w:sz="6" w:space="0" w:color="000000"/>
              <w:right w:val="single" w:sz="6" w:space="0" w:color="000000"/>
            </w:tcBorders>
            <w:vAlign w:val="center"/>
            <w:hideMark/>
          </w:tcPr>
          <w:p w14:paraId="27D2DF8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0.72</w:t>
            </w:r>
          </w:p>
        </w:tc>
        <w:tc>
          <w:tcPr>
            <w:tcW w:w="0" w:type="auto"/>
            <w:gridSpan w:val="2"/>
            <w:tcBorders>
              <w:right w:val="single" w:sz="6" w:space="0" w:color="000000"/>
            </w:tcBorders>
            <w:vAlign w:val="center"/>
            <w:hideMark/>
          </w:tcPr>
          <w:p w14:paraId="5FD5B44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0.37</w:t>
            </w:r>
          </w:p>
        </w:tc>
        <w:tc>
          <w:tcPr>
            <w:tcW w:w="0" w:type="auto"/>
            <w:gridSpan w:val="2"/>
            <w:tcBorders>
              <w:left w:val="single" w:sz="6" w:space="0" w:color="000000"/>
              <w:right w:val="single" w:sz="6" w:space="0" w:color="000000"/>
            </w:tcBorders>
            <w:vAlign w:val="center"/>
            <w:hideMark/>
          </w:tcPr>
          <w:p w14:paraId="2472D6A6"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0.28</w:t>
            </w:r>
          </w:p>
        </w:tc>
        <w:tc>
          <w:tcPr>
            <w:tcW w:w="0" w:type="auto"/>
            <w:gridSpan w:val="2"/>
            <w:tcBorders>
              <w:left w:val="single" w:sz="6" w:space="0" w:color="000000"/>
              <w:right w:val="single" w:sz="6" w:space="0" w:color="000000"/>
            </w:tcBorders>
            <w:vAlign w:val="center"/>
            <w:hideMark/>
          </w:tcPr>
          <w:p w14:paraId="64A16EA0"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0.35</w:t>
            </w:r>
          </w:p>
        </w:tc>
        <w:tc>
          <w:tcPr>
            <w:tcW w:w="0" w:type="auto"/>
            <w:gridSpan w:val="2"/>
            <w:vAlign w:val="center"/>
            <w:hideMark/>
          </w:tcPr>
          <w:p w14:paraId="201DE58A"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0.49</w:t>
            </w:r>
          </w:p>
        </w:tc>
        <w:tc>
          <w:tcPr>
            <w:tcW w:w="0" w:type="auto"/>
            <w:gridSpan w:val="2"/>
            <w:tcBorders>
              <w:left w:val="single" w:sz="6" w:space="0" w:color="000000"/>
              <w:right w:val="single" w:sz="6" w:space="0" w:color="000000"/>
            </w:tcBorders>
            <w:vAlign w:val="center"/>
            <w:hideMark/>
          </w:tcPr>
          <w:p w14:paraId="35FBAAD0"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0.58</w:t>
            </w:r>
          </w:p>
        </w:tc>
      </w:tr>
      <w:tr w:rsidR="00C5328C" w:rsidRPr="00C5328C" w14:paraId="4DF2F29D" w14:textId="77777777" w:rsidTr="00C5328C">
        <w:trPr>
          <w:trHeight w:val="440"/>
          <w:tblCellSpacing w:w="0" w:type="dxa"/>
        </w:trPr>
        <w:tc>
          <w:tcPr>
            <w:tcW w:w="0" w:type="auto"/>
            <w:vAlign w:val="center"/>
            <w:hideMark/>
          </w:tcPr>
          <w:p w14:paraId="04D3700C" w14:textId="77777777" w:rsidR="00C5328C" w:rsidRPr="00C5328C" w:rsidRDefault="00C5328C" w:rsidP="00C5328C">
            <w:pPr>
              <w:spacing w:before="0" w:after="0"/>
              <w:rPr>
                <w:rFonts w:ascii="Arial" w:eastAsia="Times New Roman" w:hAnsi="Arial" w:cs="Arial"/>
                <w:sz w:val="20"/>
                <w:szCs w:val="20"/>
                <w:lang w:eastAsia="de-DE"/>
              </w:rPr>
            </w:pPr>
            <w:r w:rsidRPr="00C5328C">
              <w:rPr>
                <w:rFonts w:ascii="Times New Roman Greek" w:eastAsia="Times New Roman" w:hAnsi="Times New Roman Greek" w:cs="Arial"/>
                <w:sz w:val="20"/>
                <w:szCs w:val="20"/>
                <w:lang w:eastAsia="de-DE"/>
              </w:rPr>
              <w:t>Σ All taxa</w:t>
            </w:r>
          </w:p>
        </w:tc>
        <w:tc>
          <w:tcPr>
            <w:tcW w:w="0" w:type="auto"/>
            <w:vAlign w:val="center"/>
            <w:hideMark/>
          </w:tcPr>
          <w:p w14:paraId="3E7E2A24"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b/>
                <w:bCs/>
                <w:sz w:val="20"/>
                <w:szCs w:val="20"/>
                <w:lang w:eastAsia="de-DE"/>
              </w:rPr>
              <w:t>52</w:t>
            </w:r>
          </w:p>
        </w:tc>
        <w:tc>
          <w:tcPr>
            <w:tcW w:w="0" w:type="auto"/>
            <w:tcBorders>
              <w:left w:val="single" w:sz="6" w:space="0" w:color="000000"/>
            </w:tcBorders>
            <w:vAlign w:val="center"/>
            <w:hideMark/>
          </w:tcPr>
          <w:p w14:paraId="0923803F"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43</w:t>
            </w:r>
          </w:p>
        </w:tc>
        <w:tc>
          <w:tcPr>
            <w:tcW w:w="0" w:type="auto"/>
            <w:tcBorders>
              <w:right w:val="single" w:sz="6" w:space="0" w:color="000000"/>
            </w:tcBorders>
            <w:vAlign w:val="center"/>
            <w:hideMark/>
          </w:tcPr>
          <w:p w14:paraId="31FBAA35"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(83%)</w:t>
            </w:r>
          </w:p>
        </w:tc>
        <w:tc>
          <w:tcPr>
            <w:tcW w:w="0" w:type="auto"/>
            <w:vAlign w:val="center"/>
            <w:hideMark/>
          </w:tcPr>
          <w:p w14:paraId="1EBD8B5F"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43</w:t>
            </w:r>
          </w:p>
        </w:tc>
        <w:tc>
          <w:tcPr>
            <w:tcW w:w="0" w:type="auto"/>
            <w:tcBorders>
              <w:right w:val="single" w:sz="6" w:space="0" w:color="000000"/>
            </w:tcBorders>
            <w:vAlign w:val="center"/>
            <w:hideMark/>
          </w:tcPr>
          <w:p w14:paraId="6898865D"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(83%)</w:t>
            </w:r>
          </w:p>
        </w:tc>
        <w:tc>
          <w:tcPr>
            <w:tcW w:w="0" w:type="auto"/>
            <w:vAlign w:val="center"/>
            <w:hideMark/>
          </w:tcPr>
          <w:p w14:paraId="3E67893C"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49</w:t>
            </w:r>
          </w:p>
        </w:tc>
        <w:tc>
          <w:tcPr>
            <w:tcW w:w="0" w:type="auto"/>
            <w:vAlign w:val="center"/>
            <w:hideMark/>
          </w:tcPr>
          <w:p w14:paraId="25088868"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(94%)</w:t>
            </w:r>
          </w:p>
        </w:tc>
        <w:tc>
          <w:tcPr>
            <w:tcW w:w="0" w:type="auto"/>
            <w:tcBorders>
              <w:left w:val="single" w:sz="6" w:space="0" w:color="000000"/>
            </w:tcBorders>
            <w:vAlign w:val="center"/>
            <w:hideMark/>
          </w:tcPr>
          <w:p w14:paraId="5365CDCE"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48</w:t>
            </w:r>
          </w:p>
        </w:tc>
        <w:tc>
          <w:tcPr>
            <w:tcW w:w="0" w:type="auto"/>
            <w:tcBorders>
              <w:right w:val="single" w:sz="6" w:space="0" w:color="000000"/>
            </w:tcBorders>
            <w:vAlign w:val="center"/>
            <w:hideMark/>
          </w:tcPr>
          <w:p w14:paraId="03953161"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(92%)</w:t>
            </w:r>
          </w:p>
        </w:tc>
        <w:tc>
          <w:tcPr>
            <w:tcW w:w="0" w:type="auto"/>
            <w:vAlign w:val="center"/>
            <w:hideMark/>
          </w:tcPr>
          <w:p w14:paraId="0D940C0A"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51</w:t>
            </w:r>
          </w:p>
        </w:tc>
        <w:tc>
          <w:tcPr>
            <w:tcW w:w="0" w:type="auto"/>
            <w:vAlign w:val="center"/>
            <w:hideMark/>
          </w:tcPr>
          <w:p w14:paraId="039E9F26"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(98%)</w:t>
            </w:r>
          </w:p>
        </w:tc>
        <w:tc>
          <w:tcPr>
            <w:tcW w:w="0" w:type="auto"/>
            <w:tcBorders>
              <w:left w:val="single" w:sz="6" w:space="0" w:color="000000"/>
            </w:tcBorders>
            <w:vAlign w:val="center"/>
            <w:hideMark/>
          </w:tcPr>
          <w:p w14:paraId="774C1B2A"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47</w:t>
            </w:r>
          </w:p>
        </w:tc>
        <w:tc>
          <w:tcPr>
            <w:tcW w:w="0" w:type="auto"/>
            <w:tcBorders>
              <w:right w:val="single" w:sz="6" w:space="0" w:color="000000"/>
            </w:tcBorders>
            <w:vAlign w:val="center"/>
            <w:hideMark/>
          </w:tcPr>
          <w:p w14:paraId="3DBB1A76" w14:textId="77777777" w:rsidR="00C5328C" w:rsidRPr="00C5328C" w:rsidRDefault="00C5328C" w:rsidP="00C5328C">
            <w:pPr>
              <w:spacing w:before="0" w:after="0"/>
              <w:jc w:val="center"/>
              <w:rPr>
                <w:rFonts w:ascii="Arial" w:eastAsia="Times New Roman" w:hAnsi="Arial" w:cs="Arial"/>
                <w:sz w:val="20"/>
                <w:szCs w:val="20"/>
                <w:lang w:eastAsia="de-DE"/>
              </w:rPr>
            </w:pPr>
            <w:r w:rsidRPr="00C5328C">
              <w:rPr>
                <w:rFonts w:eastAsia="Times New Roman" w:cs="Times New Roman"/>
                <w:sz w:val="20"/>
                <w:szCs w:val="20"/>
                <w:lang w:eastAsia="de-DE"/>
              </w:rPr>
              <w:t>(90%)</w:t>
            </w:r>
          </w:p>
        </w:tc>
      </w:tr>
    </w:tbl>
    <w:p w14:paraId="0FE752CA" w14:textId="03D4A2C9" w:rsidR="00DB41E2" w:rsidRDefault="00DB41E2" w:rsidP="00DB41E2">
      <w:pPr>
        <w:pStyle w:val="TextBody"/>
        <w:spacing w:line="240" w:lineRule="auto"/>
      </w:pPr>
    </w:p>
    <w:p w14:paraId="2265B65D" w14:textId="77777777" w:rsidR="003504D5" w:rsidRPr="006861C7" w:rsidRDefault="003504D5" w:rsidP="00DB41E2">
      <w:pPr>
        <w:pStyle w:val="TextBody"/>
        <w:spacing w:line="240" w:lineRule="auto"/>
      </w:pPr>
    </w:p>
    <w:p w14:paraId="385FB6F2" w14:textId="77777777" w:rsidR="00DB41E2" w:rsidRPr="006861C7" w:rsidRDefault="00DB41E2" w:rsidP="00DB41E2">
      <w:pPr>
        <w:pStyle w:val="KeinLeerraum"/>
      </w:pPr>
      <w:r w:rsidRPr="006861C7">
        <w:t xml:space="preserve">* </w:t>
      </w:r>
      <w:r>
        <w:t>Mean s</w:t>
      </w:r>
      <w:r w:rsidRPr="006861C7">
        <w:t xml:space="preserve">tandard deviation (SD) of log10 sequence abundance </w:t>
      </w:r>
      <w:r>
        <w:t>from each insect taxon</w:t>
      </w:r>
      <w:r w:rsidRPr="006861C7">
        <w:t xml:space="preserve"> that </w:t>
      </w:r>
      <w:r>
        <w:t>was detected</w:t>
      </w:r>
      <w:r w:rsidRPr="006861C7">
        <w:t xml:space="preserve"> (specimens with &lt; 0.003% read abundance discarded)</w:t>
      </w:r>
    </w:p>
    <w:p w14:paraId="4AFA3828" w14:textId="3B15D728" w:rsidR="00DB41E2" w:rsidRPr="006861C7" w:rsidRDefault="00DB41E2" w:rsidP="00DB41E2">
      <w:pPr>
        <w:pStyle w:val="KeinLeerraum"/>
      </w:pPr>
      <w:r w:rsidRPr="006861C7">
        <w:t xml:space="preserve">** Precision defined as the SD of the mean log10 distance to the expected abundance, calculated for each </w:t>
      </w:r>
      <w:proofErr w:type="spellStart"/>
      <w:r w:rsidRPr="006861C7">
        <w:t>morphotaxon</w:t>
      </w:r>
      <w:proofErr w:type="spellEnd"/>
      <w:r w:rsidR="00613502">
        <w:t xml:space="preserve"> (all taxa)</w:t>
      </w:r>
      <w:r w:rsidRPr="006861C7">
        <w:t>.</w:t>
      </w:r>
    </w:p>
    <w:p w14:paraId="7C4932FD" w14:textId="77777777" w:rsidR="00DB41E2" w:rsidRPr="006861C7" w:rsidRDefault="00DB41E2" w:rsidP="00DB41E2">
      <w:pPr>
        <w:pStyle w:val="TextBody"/>
        <w:spacing w:line="240" w:lineRule="auto"/>
      </w:pPr>
    </w:p>
    <w:p w14:paraId="1F3619A9" w14:textId="77777777" w:rsidR="00DB41E2" w:rsidRPr="006861C7" w:rsidRDefault="00DB41E2" w:rsidP="00DB41E2">
      <w:pPr>
        <w:pStyle w:val="berschrift2"/>
      </w:pPr>
      <w:r w:rsidRPr="006861C7">
        <w:rPr>
          <w:i/>
        </w:rPr>
        <w:t xml:space="preserve">In </w:t>
      </w:r>
      <w:proofErr w:type="spellStart"/>
      <w:r w:rsidRPr="006861C7">
        <w:rPr>
          <w:i/>
        </w:rPr>
        <w:t>silico</w:t>
      </w:r>
      <w:proofErr w:type="spellEnd"/>
      <w:r w:rsidRPr="006861C7">
        <w:t xml:space="preserve"> evaluation of primers</w:t>
      </w:r>
    </w:p>
    <w:p w14:paraId="798324B5" w14:textId="77777777" w:rsidR="00DB41E2" w:rsidRDefault="00DB41E2" w:rsidP="00DB41E2">
      <w:pPr>
        <w:pStyle w:val="KeinLeerraum"/>
      </w:pPr>
      <w:r w:rsidRPr="006861C7">
        <w:t xml:space="preserve">Performances of the 11 forward and 12 reverse primers were evaluated against OTUs of all insect orders (Figure </w:t>
      </w:r>
      <w:r>
        <w:t>3</w:t>
      </w:r>
      <w:r w:rsidRPr="006861C7">
        <w:t xml:space="preserve">). Reference data for binding sites of the standard </w:t>
      </w:r>
      <w:proofErr w:type="spellStart"/>
      <w:r w:rsidRPr="006861C7">
        <w:t>Folmer</w:t>
      </w:r>
      <w:proofErr w:type="spellEnd"/>
      <w:r w:rsidRPr="006861C7">
        <w:t xml:space="preserve"> primers HCO and LCO </w:t>
      </w:r>
      <w:r>
        <w:t>were</w:t>
      </w:r>
      <w:r w:rsidRPr="006861C7">
        <w:t xml:space="preserve"> very limited and </w:t>
      </w:r>
      <w:proofErr w:type="spellStart"/>
      <w:r>
        <w:t>Megaloptera</w:t>
      </w:r>
      <w:proofErr w:type="spellEnd"/>
      <w:r>
        <w:t xml:space="preserve"> and </w:t>
      </w:r>
      <w:proofErr w:type="spellStart"/>
      <w:r>
        <w:t>Turbellaria</w:t>
      </w:r>
      <w:proofErr w:type="spellEnd"/>
      <w:r>
        <w:t xml:space="preserve"> </w:t>
      </w:r>
      <w:r w:rsidRPr="006861C7">
        <w:t xml:space="preserve">had below 100 </w:t>
      </w:r>
      <w:r>
        <w:t>OTUs</w:t>
      </w:r>
      <w:r w:rsidRPr="006861C7">
        <w:t xml:space="preserve">. Primer efficiencies were very similar across orders but varied </w:t>
      </w:r>
      <w:r>
        <w:t xml:space="preserve">slightly </w:t>
      </w:r>
      <w:r w:rsidRPr="006861C7">
        <w:t>between primers.</w:t>
      </w:r>
      <w:r>
        <w:t xml:space="preserve"> However, </w:t>
      </w:r>
      <w:proofErr w:type="spellStart"/>
      <w:r w:rsidRPr="003C1ED8">
        <w:t>Bivalvia</w:t>
      </w:r>
      <w:proofErr w:type="spellEnd"/>
      <w:r w:rsidRPr="003C1ED8">
        <w:t xml:space="preserve">, </w:t>
      </w:r>
      <w:proofErr w:type="spellStart"/>
      <w:r w:rsidRPr="003C1ED8">
        <w:t>Turbellaria</w:t>
      </w:r>
      <w:proofErr w:type="spellEnd"/>
      <w:r>
        <w:t xml:space="preserve"> and</w:t>
      </w:r>
      <w:r w:rsidRPr="003C1ED8">
        <w:t xml:space="preserve"> </w:t>
      </w:r>
      <w:proofErr w:type="spellStart"/>
      <w:r w:rsidRPr="003C1ED8">
        <w:t>Hirudinea</w:t>
      </w:r>
      <w:proofErr w:type="spellEnd"/>
      <w:r>
        <w:t xml:space="preserve"> showed higher penalty scores than other groups, while the high penalty scores for </w:t>
      </w:r>
      <w:proofErr w:type="spellStart"/>
      <w:r w:rsidRPr="00C352CD">
        <w:t>Amphipoda</w:t>
      </w:r>
      <w:proofErr w:type="spellEnd"/>
      <w:r>
        <w:t xml:space="preserve"> are likely doe to the low sequence coverage and one mismatching sequence in the binding region </w:t>
      </w:r>
      <w:r w:rsidRPr="006861C7">
        <w:t xml:space="preserve">(Figure </w:t>
      </w:r>
      <w:r>
        <w:t>3</w:t>
      </w:r>
      <w:r w:rsidRPr="006861C7">
        <w:t>)</w:t>
      </w:r>
      <w:r>
        <w:t>.</w:t>
      </w:r>
      <w:r w:rsidRPr="006861C7">
        <w:t xml:space="preserve"> </w:t>
      </w:r>
      <w:r w:rsidRPr="006861C7">
        <w:rPr>
          <w:i/>
        </w:rPr>
        <w:t xml:space="preserve">In </w:t>
      </w:r>
      <w:proofErr w:type="spellStart"/>
      <w:r w:rsidRPr="006861C7">
        <w:rPr>
          <w:i/>
        </w:rPr>
        <w:t>silico</w:t>
      </w:r>
      <w:proofErr w:type="spellEnd"/>
      <w:r w:rsidRPr="006861C7">
        <w:t xml:space="preserve"> and PCR (mock community samples) amplification success of BF/BR primer combinations was similar, </w:t>
      </w:r>
      <w:r>
        <w:t xml:space="preserve">but not always consistent. For example, while the BR1 primer shows a mean </w:t>
      </w:r>
      <w:r w:rsidRPr="00D4637A">
        <w:rPr>
          <w:i/>
        </w:rPr>
        <w:t xml:space="preserve">in </w:t>
      </w:r>
      <w:proofErr w:type="spellStart"/>
      <w:r w:rsidRPr="00D4637A">
        <w:rPr>
          <w:i/>
        </w:rPr>
        <w:t>silico</w:t>
      </w:r>
      <w:proofErr w:type="spellEnd"/>
      <w:r>
        <w:t xml:space="preserve"> amplification of only 77% (Figure 3), the BF2+BR1 primer combination performed well with actual samples (Figure 2). Generally speaking, p</w:t>
      </w:r>
      <w:r w:rsidRPr="006861C7">
        <w:t xml:space="preserve">rimers incorporating wobble bases (jgLCO1490, BF1, BF2, BR1, BR2, jgHCO2198, H2123d) or </w:t>
      </w:r>
      <w:proofErr w:type="spellStart"/>
      <w:r w:rsidRPr="006861C7">
        <w:t>inosin</w:t>
      </w:r>
      <w:proofErr w:type="spellEnd"/>
      <w:r w:rsidRPr="006861C7">
        <w:t xml:space="preserve"> (</w:t>
      </w:r>
      <w:proofErr w:type="spellStart"/>
      <w:r w:rsidRPr="006861C7">
        <w:t>Ill_B_F</w:t>
      </w:r>
      <w:proofErr w:type="spellEnd"/>
      <w:r w:rsidRPr="006861C7">
        <w:t xml:space="preserve">, ArF5, </w:t>
      </w:r>
      <w:proofErr w:type="spellStart"/>
      <w:r w:rsidRPr="006861C7">
        <w:t>Il_C_R</w:t>
      </w:r>
      <w:proofErr w:type="spellEnd"/>
      <w:r w:rsidRPr="006861C7">
        <w:t xml:space="preserve">, ArR5) </w:t>
      </w:r>
      <w:r>
        <w:t>at</w:t>
      </w:r>
      <w:r w:rsidRPr="006861C7">
        <w:t xml:space="preserve"> the 3' end performed better than primers wi</w:t>
      </w:r>
      <w:r>
        <w:t>th no or just few wobble bases (linear regression mean penalty scores against log10 primer degeneracy: p = 0.004, adj. R</w:t>
      </w:r>
      <w:r w:rsidRPr="006C7597">
        <w:rPr>
          <w:vertAlign w:val="superscript"/>
        </w:rPr>
        <w:t>2</w:t>
      </w:r>
      <w:r>
        <w:t xml:space="preserve"> = 0.296).</w:t>
      </w:r>
    </w:p>
    <w:p w14:paraId="37243C6D" w14:textId="77777777" w:rsidR="00DB41E2" w:rsidRPr="006861C7" w:rsidRDefault="00DB41E2" w:rsidP="00DB41E2">
      <w:pPr>
        <w:pStyle w:val="KeinLeerraum"/>
      </w:pPr>
    </w:p>
    <w:p w14:paraId="042EE111" w14:textId="77777777" w:rsidR="00DB41E2" w:rsidRPr="006861C7" w:rsidRDefault="00DB41E2" w:rsidP="00DB41E2">
      <w:pPr>
        <w:pStyle w:val="KeinLeerraum"/>
      </w:pPr>
      <w:r w:rsidRPr="006861C7">
        <w:t xml:space="preserve">It should be noted that some primers from the literature are not only poorly matching because they lack wobble bases, but </w:t>
      </w:r>
      <w:r>
        <w:t>are</w:t>
      </w:r>
      <w:r w:rsidRPr="006861C7">
        <w:t xml:space="preserve"> affected by additional problems (see Figure S2, "critical mismatches"). For instance, near the 3’ ends, the EPT-long-</w:t>
      </w:r>
      <w:proofErr w:type="spellStart"/>
      <w:r w:rsidRPr="006861C7">
        <w:t>univR</w:t>
      </w:r>
      <w:proofErr w:type="spellEnd"/>
      <w:r w:rsidRPr="006861C7">
        <w:t xml:space="preserve"> has a completely unnecessary second </w:t>
      </w:r>
      <w:proofErr w:type="spellStart"/>
      <w:r w:rsidRPr="006861C7">
        <w:t>inosine</w:t>
      </w:r>
      <w:proofErr w:type="spellEnd"/>
      <w:r w:rsidRPr="006861C7">
        <w:t xml:space="preserve"> at a conserved position, while the Uni-MinibarF1 had a "T" at a position where more than half of the reference OTUs had an "A". Furthermore, the L499 primer targets a highly variable region. The </w:t>
      </w:r>
      <w:proofErr w:type="spellStart"/>
      <w:r w:rsidRPr="006861C7">
        <w:t>mlCOIintR</w:t>
      </w:r>
      <w:proofErr w:type="spellEnd"/>
      <w:r w:rsidRPr="006861C7">
        <w:t xml:space="preserve"> primer incorporates S (= C or G) leading to many mismatches (Figure S2), while the forward version of </w:t>
      </w:r>
      <w:r>
        <w:t>the same</w:t>
      </w:r>
      <w:r w:rsidRPr="006861C7">
        <w:t xml:space="preserve"> primer uses W (= A or T) wobble bases which match better. </w:t>
      </w:r>
      <w:r>
        <w:t xml:space="preserve">The reverse primers listed in the supplementary information of </w:t>
      </w:r>
      <w:r>
        <w:fldChar w:fldCharType="begin"/>
      </w:r>
      <w:r>
        <w:instrText xml:space="preserve"> ADDIN PAPERS2_CITATIONS &lt;citation&gt;&lt;uuid&gt;1328B369-35AA-40DE-A2EF-20D67F498007&lt;/uuid&gt;&lt;priority&gt;0&lt;/priority&gt;&lt;publications&gt;&lt;publication&gt;&lt;uuid&gt;2F64A506-50EB-4314-9657-9F62D0FF9940&lt;/uuid&gt;&lt;volume&gt;111&lt;/volume&gt;&lt;doi&gt;10.1073/pnas.1406468111&lt;/doi&gt;&lt;startpage&gt;8007&lt;/startpage&gt;&lt;publication_date&gt;99201406031200000000222000&lt;/publication_date&gt;&lt;url&gt;http://www.pnas.org/content/111/22/8007.full&lt;/url&gt;&lt;citekey&gt;Gibson:2014ge&lt;/citekey&gt;&lt;type&gt;400&lt;/type&gt;&lt;title&gt;Simultaneous assessment of the macrobiome and microbiome in a bulk sample of tropical arthropods through DNA metasystematics.&lt;/title&gt;&lt;publisher&gt;National Acad Sciences&lt;/publisher&gt;&lt;institution&gt;Department of Integrative Biology and Biodiversity Institute of Ontario, University of Guelph, Guelph, ON, Canada N1G 2W1;&lt;/institution&gt;&lt;number&gt;22&lt;/number&gt;&lt;subtype&gt;400&lt;/subtype&gt;&lt;endpage&gt;8012&lt;/endpage&gt;&lt;bundle&gt;&lt;publication&gt;&lt;url&gt;http://www.pnas.org/&lt;/url&gt;&lt;title&gt;Proceedings of the National Academy of Sciences&lt;/title&gt;&lt;type&gt;-100&lt;/type&gt;&lt;subtype&gt;-100&lt;/subtype&gt;&lt;uuid&gt;24722CBA-50B9-4F7F-A714-51D9167ECE3A&lt;/uuid&gt;&lt;/publication&gt;&lt;/bundle&gt;&lt;authors&gt;&lt;author&gt;&lt;firstName&gt;Joel&lt;/firstName&gt;&lt;lastName&gt;Gibson&lt;/lastName&gt;&lt;/author&gt;&lt;author&gt;&lt;firstName&gt;Shadi&lt;/firstName&gt;&lt;lastName&gt;Shokralla&lt;/lastName&gt;&lt;/author&gt;&lt;author&gt;&lt;firstName&gt;Teresita&lt;/firstName&gt;&lt;middleNames&gt;M&lt;/middleNames&gt;&lt;lastName&gt;Porter&lt;/lastName&gt;&lt;/author&gt;&lt;author&gt;&lt;firstName&gt;Ian&lt;/firstName&gt;&lt;lastName&gt;King&lt;/lastName&gt;&lt;/author&gt;&lt;author&gt;&lt;nonDroppingParticle&gt;van&lt;/nonDroppingParticle&gt;&lt;firstName&gt;Steven&lt;/firstName&gt;&lt;lastName&gt;Konynenburg&lt;/lastName&gt;&lt;/author&gt;&lt;author&gt;&lt;firstName&gt;Daniel&lt;/firstName&gt;&lt;middleNames&gt;H&lt;/middleNames&gt;&lt;lastName&gt;Janzen&lt;/lastName&gt;&lt;/author&gt;&lt;author&gt;&lt;firstName&gt;Winnie&lt;/firstName&gt;&lt;lastName&gt;Hallwachs&lt;/lastName&gt;&lt;/author&gt;&lt;author&gt;&lt;firstName&gt;Mehrdad&lt;/firstName&gt;&lt;lastName&gt;Hajibabaei&lt;/lastName&gt;&lt;/author&gt;&lt;/authors&gt;&lt;/publication&gt;&lt;/publications&gt;&lt;cites&gt;&lt;/cites&gt;&lt;/citation&gt;</w:instrText>
      </w:r>
      <w:r>
        <w:fldChar w:fldCharType="separate"/>
      </w:r>
      <w:r>
        <w:rPr>
          <w:rFonts w:eastAsia="SimSun"/>
          <w:szCs w:val="24"/>
          <w:lang w:val="de-DE"/>
        </w:rPr>
        <w:t>(Gibson et al., 2014)</w:t>
      </w:r>
      <w:r>
        <w:fldChar w:fldCharType="end"/>
      </w:r>
      <w:r>
        <w:t xml:space="preserve"> are not written in reverse complement, and will not work if ordered as provided (we evaluated the ArR5 primer in the reverse complement </w:t>
      </w:r>
      <w:r w:rsidRPr="00473836">
        <w:rPr>
          <w:i/>
        </w:rPr>
        <w:t xml:space="preserve">in </w:t>
      </w:r>
      <w:proofErr w:type="spellStart"/>
      <w:r w:rsidRPr="00473836">
        <w:rPr>
          <w:i/>
        </w:rPr>
        <w:t>silico</w:t>
      </w:r>
      <w:proofErr w:type="spellEnd"/>
      <w:r>
        <w:t xml:space="preserve">). </w:t>
      </w:r>
      <w:r w:rsidRPr="006861C7">
        <w:t>Finally, certain primers show mismatches to particular groups, e.g. the ZBJ-ArtF1c primer do</w:t>
      </w:r>
      <w:r>
        <w:t>es</w:t>
      </w:r>
      <w:r w:rsidRPr="006861C7">
        <w:t xml:space="preserve"> not match well to sequences of</w:t>
      </w:r>
      <w:r>
        <w:t xml:space="preserve"> </w:t>
      </w:r>
      <w:proofErr w:type="spellStart"/>
      <w:r>
        <w:t>Bivalvia</w:t>
      </w:r>
      <w:proofErr w:type="spellEnd"/>
      <w:r>
        <w:t xml:space="preserve"> and the BR1 primer shows an unambiguous mismatch to </w:t>
      </w:r>
      <w:proofErr w:type="spellStart"/>
      <w:r w:rsidRPr="003C1ED8">
        <w:t>Turbellaria</w:t>
      </w:r>
      <w:proofErr w:type="spellEnd"/>
      <w:r>
        <w:t xml:space="preserve"> and</w:t>
      </w:r>
      <w:r w:rsidRPr="003C1ED8">
        <w:t xml:space="preserve"> </w:t>
      </w:r>
      <w:proofErr w:type="spellStart"/>
      <w:r w:rsidRPr="003C1ED8">
        <w:t>Hirudinea</w:t>
      </w:r>
      <w:proofErr w:type="spellEnd"/>
      <w:r>
        <w:t xml:space="preserve"> at the fifth position (Figure S2).</w:t>
      </w:r>
    </w:p>
    <w:p w14:paraId="157CF6E3" w14:textId="77777777" w:rsidR="00DB41E2" w:rsidRPr="006861C7" w:rsidRDefault="00DB41E2" w:rsidP="00DB41E2">
      <w:pPr>
        <w:pStyle w:val="berschrift1"/>
      </w:pPr>
      <w:r w:rsidRPr="0009317E">
        <w:t>Discussion</w:t>
      </w:r>
    </w:p>
    <w:p w14:paraId="76180E4C" w14:textId="77777777" w:rsidR="00DB41E2" w:rsidRPr="006861C7" w:rsidRDefault="00DB41E2" w:rsidP="00DB41E2">
      <w:pPr>
        <w:pStyle w:val="berschrift2"/>
      </w:pPr>
      <w:r w:rsidRPr="006861C7">
        <w:t>Amplification success of mock communities</w:t>
      </w:r>
    </w:p>
    <w:p w14:paraId="13E95D6B" w14:textId="77777777" w:rsidR="00DB41E2" w:rsidRDefault="00DB41E2" w:rsidP="00DB41E2">
      <w:pPr>
        <w:pStyle w:val="KeinLeerraum"/>
      </w:pPr>
      <w:r>
        <w:t xml:space="preserve">Environmental Impact Assessment (EIA) requires standardized and reliable data on biodiversity. </w:t>
      </w:r>
      <w:proofErr w:type="spellStart"/>
      <w:r>
        <w:t>Metabarcoding</w:t>
      </w:r>
      <w:proofErr w:type="spellEnd"/>
      <w:r>
        <w:t xml:space="preserve"> holds the potential to assess biodiversity of freshwater ecosystems faster and more reliable, if in particular suitable primers can be designed. </w:t>
      </w:r>
      <w:r w:rsidRPr="006861C7">
        <w:t xml:space="preserve">We used </w:t>
      </w:r>
      <w:proofErr w:type="spellStart"/>
      <w:r w:rsidRPr="006861C7">
        <w:t>PrimerMiner</w:t>
      </w:r>
      <w:proofErr w:type="spellEnd"/>
      <w:r w:rsidRPr="006861C7">
        <w:t xml:space="preserve"> to </w:t>
      </w:r>
      <w:r>
        <w:t>obtain</w:t>
      </w:r>
      <w:r w:rsidRPr="006861C7">
        <w:t xml:space="preserve"> freshwater invertebrates</w:t>
      </w:r>
      <w:r>
        <w:t xml:space="preserve"> specific sequence information,</w:t>
      </w:r>
      <w:r w:rsidRPr="006861C7">
        <w:t xml:space="preserve"> based on OTU sequence alignments generated of mitochondrial and COI barcodes from NCBI and BOLD. </w:t>
      </w:r>
      <w:r>
        <w:t>On this well balanced dataset we developed and tested four primer sets targeting freshwater invertebrates</w:t>
      </w:r>
      <w:r w:rsidRPr="006861C7">
        <w:t xml:space="preserve">. We deliberately decided to not factor in nucleotide variability present in only few groups (mostly non-insect </w:t>
      </w:r>
      <w:proofErr w:type="spellStart"/>
      <w:r w:rsidRPr="006861C7">
        <w:t>Metazoa</w:t>
      </w:r>
      <w:proofErr w:type="spellEnd"/>
      <w:r w:rsidRPr="006861C7">
        <w:t>) to limit the degeneracy of the primers</w:t>
      </w:r>
      <w:r>
        <w:t xml:space="preserve"> to a reasonable level.</w:t>
      </w:r>
    </w:p>
    <w:p w14:paraId="7AB1833F" w14:textId="77777777" w:rsidR="00DB41E2" w:rsidRDefault="00DB41E2" w:rsidP="00DB41E2">
      <w:pPr>
        <w:pStyle w:val="KeinLeerraum"/>
      </w:pPr>
    </w:p>
    <w:p w14:paraId="0704FCA1" w14:textId="77777777" w:rsidR="00DB41E2" w:rsidRDefault="00DB41E2" w:rsidP="00DB41E2">
      <w:pPr>
        <w:pStyle w:val="KeinLeerraum"/>
      </w:pPr>
      <w:r w:rsidRPr="006861C7">
        <w:t>All</w:t>
      </w:r>
      <w:r>
        <w:t xml:space="preserve"> four</w:t>
      </w:r>
      <w:r w:rsidRPr="006861C7">
        <w:t xml:space="preserve"> </w:t>
      </w:r>
      <w:r>
        <w:t xml:space="preserve">BF / BR </w:t>
      </w:r>
      <w:r w:rsidRPr="006861C7">
        <w:t>primer</w:t>
      </w:r>
      <w:r>
        <w:t xml:space="preserve"> combinations</w:t>
      </w:r>
      <w:r w:rsidRPr="006861C7">
        <w:t xml:space="preserve"> amplified the ten mock communities successfully</w:t>
      </w:r>
      <w:r>
        <w:t>, especially for insect taxa</w:t>
      </w:r>
      <w:r w:rsidRPr="006861C7">
        <w:t xml:space="preserve">. By factoring in the different </w:t>
      </w:r>
      <w:proofErr w:type="spellStart"/>
      <w:r w:rsidRPr="006861C7">
        <w:t>amplicon</w:t>
      </w:r>
      <w:proofErr w:type="spellEnd"/>
      <w:r w:rsidRPr="006861C7">
        <w:t xml:space="preserve"> lengths in library pooling we obtained similar amounts of reads for each sample. All degenerated COI primers showed superior detection rates (up to 100% of insects and 98% of all </w:t>
      </w:r>
      <w:proofErr w:type="spellStart"/>
      <w:r w:rsidRPr="006861C7">
        <w:t>morphotaxa</w:t>
      </w:r>
      <w:proofErr w:type="spellEnd"/>
      <w:r w:rsidRPr="006861C7">
        <w:t xml:space="preserve">) and more consistent read abundances compared to the standard </w:t>
      </w:r>
      <w:proofErr w:type="spellStart"/>
      <w:r w:rsidRPr="006861C7">
        <w:t>Folmer</w:t>
      </w:r>
      <w:proofErr w:type="spellEnd"/>
      <w:r w:rsidRPr="006861C7">
        <w:t xml:space="preserve"> barcoding primers that lacked any base degeneracy </w:t>
      </w:r>
      <w:r w:rsidRPr="006861C7">
        <w:fldChar w:fldCharType="begin"/>
      </w:r>
      <w:r>
        <w:instrText xml:space="preserve"> ADDIN PAPERS2_CITATIONS &lt;citation&gt;&lt;uuid&gt;89030D10-EE98-4127-A215-045F4B8FFF83&lt;/uuid&gt;&lt;priority&gt;0&lt;/priority&gt;&lt;publications&gt;&lt;publication&gt;&lt;uuid&gt;26A8C5F2-4775-4922-B733-2621A5DBB343&lt;/uuid&gt;&lt;volume&gt;3&lt;/volume&gt;&lt;startpage&gt;294&lt;/startpage&gt;&lt;publication_date&gt;99199410001200000000220000&lt;/publication_date&gt;&lt;url&gt;http://eutils.ncbi.nlm.nih.gov/entrez/eutils/elink.fcgi?dbfrom=pubmed&amp;amp;id=7881515&amp;amp;retmode=ref&amp;amp;cmd=prlinks&lt;/url&gt;&lt;citekey&gt;Folmer:1994td&lt;/citekey&gt;&lt;type&gt;400&lt;/type&gt;&lt;title&gt;DNA primers for amplification of mitochondrial cytochrome c oxidase subunit I from diverse metazoan invertebrates.&lt;/title&gt;&lt;location&gt;602,0,0,0&lt;/location&gt;&lt;institution&gt;Center for Theoretical and Applied Genetics, Rutgers University, New Brunswick, New Jersey 08903-231.&lt;/institution&gt;&lt;number&gt;5&lt;/number&gt;&lt;subtype&gt;400&lt;/subtype&gt;&lt;endpage&gt;299&lt;/endpage&gt;&lt;bundle&gt;&lt;publication&gt;&lt;title&gt;Molecular marine biology and biotechnology&lt;/title&gt;&lt;type&gt;-100&lt;/type&gt;&lt;subtype&gt;-100&lt;/subtype&gt;&lt;uuid&gt;CDE10730-4CB9-435E-B2DD-A305C0046ED8&lt;/uuid&gt;&lt;/publication&gt;&lt;/bundle&gt;&lt;authors&gt;&lt;author&gt;&lt;firstName&gt;O&lt;/firstName&gt;&lt;lastName&gt;Folmer&lt;/lastName&gt;&lt;/author&gt;&lt;author&gt;&lt;firstName&gt;M&lt;/firstName&gt;&lt;lastName&gt;Black&lt;/lastName&gt;&lt;/author&gt;&lt;author&gt;&lt;firstName&gt;W&lt;/firstName&gt;&lt;lastName&gt;Hoeh&lt;/lastName&gt;&lt;/author&gt;&lt;author&gt;&lt;firstName&gt;R&lt;/firstName&gt;&lt;lastName&gt;Lutz&lt;/lastName&gt;&lt;/author&gt;&lt;author&gt;&lt;firstName&gt;R&lt;/firstName&gt;&lt;lastName&gt;Vrijenhoek&lt;/lastName&gt;&lt;/author&gt;&lt;/authors&gt;&lt;/publication&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Pr="006861C7">
        <w:fldChar w:fldCharType="separate"/>
      </w:r>
      <w:r>
        <w:rPr>
          <w:rFonts w:eastAsia="SimSun"/>
          <w:szCs w:val="24"/>
          <w:lang w:val="de-DE"/>
        </w:rPr>
        <w:t>(Elbrecht and Leese, 2015; Folmer et al., 1994)</w:t>
      </w:r>
      <w:r w:rsidRPr="006861C7">
        <w:fldChar w:fldCharType="end"/>
      </w:r>
      <w:r w:rsidRPr="006861C7">
        <w:t xml:space="preserve">. The primer BF2 in combination with BR1/BR2 even showed better detection rates and higher precision than a previously used primer targeting a more conserved region of the mitochondrial 16S </w:t>
      </w:r>
      <w:proofErr w:type="spellStart"/>
      <w:r w:rsidRPr="006861C7">
        <w:t>rRNA</w:t>
      </w:r>
      <w:proofErr w:type="spellEnd"/>
      <w:r w:rsidRPr="006861C7">
        <w:t xml:space="preserve"> gene, which was tested on the same communities </w:t>
      </w:r>
      <w:r w:rsidRPr="006861C7">
        <w:fldChar w:fldCharType="begin"/>
      </w:r>
      <w:r>
        <w:instrText xml:space="preserve"> ADDIN PAPERS2_CITATIONS &lt;citation&gt;&lt;uuid&gt;A9C911BE-02B7-4D98-B5E1-389F0EAA9E12&lt;/uuid&gt;&lt;priority&gt;0&lt;/priority&gt;&lt;publications&gt;&lt;publication&gt;&lt;uuid&gt;D0DC0C18-B72D-4F3C-8354-44EC702E46B7&lt;/uuid&gt;&lt;volume&gt;4&lt;/volume&gt;&lt;doi&gt;10.7717/peerj.1966&lt;/doi&gt;&lt;startpage&gt;e1966&lt;/startpage&gt;&lt;publication_date&gt;99201600001200000000200000&lt;/publication_date&gt;&lt;url&gt;https://peerj.com/articles/1966&lt;/url&gt;&lt;type&gt;400&lt;/type&gt;&lt;title&gt;Testing the potential of a ribosomal 16S marker for DNA metabarcoding of insects&lt;/title&gt;&lt;publisher&gt;PeerJ Inc.&lt;/publisher&gt;&lt;number&gt;4&lt;/number&gt;&lt;subtype&gt;400&lt;/subtype&gt;&lt;endpage&gt;12&lt;/endpage&gt;&lt;bundle&gt;&lt;publication&gt;&lt;title&gt;PeerJ&lt;/title&gt;&lt;type&gt;-100&lt;/type&gt;&lt;subtype&gt;-100&lt;/subtype&gt;&lt;uuid&gt;5EBA4B9F-B369-4753-B381-FDCC83951E9F&lt;/uuid&gt;&lt;/publication&gt;&lt;/bundle&gt;&lt;authors&gt;&lt;author&gt;&lt;firstName&gt;Vasco&lt;/firstName&gt;&lt;lastName&gt;Elbrecht&lt;/lastName&gt;&lt;/author&gt;&lt;author&gt;&lt;firstName&gt;Pierre&lt;/firstName&gt;&lt;lastName&gt;Taberlet&lt;/lastName&gt;&lt;/author&gt;&lt;author&gt;&lt;firstName&gt;Tony&lt;/firstName&gt;&lt;lastName&gt;Dejean&lt;/lastName&gt;&lt;/author&gt;&lt;author&gt;&lt;firstName&gt;Alice&lt;/firstName&gt;&lt;lastName&gt;Valentini&lt;/lastName&gt;&lt;/author&gt;&lt;author&gt;&lt;firstName&gt;Philippe&lt;/firstName&gt;&lt;lastName&gt;Usseglio-Polatera&lt;/lastName&gt;&lt;/author&gt;&lt;author&gt;&lt;firstName&gt;Jean-Nicolas&lt;/firstName&gt;&lt;lastName&gt;Beisel&lt;/lastName&gt;&lt;/author&gt;&lt;author&gt;&lt;firstName&gt;Eric&lt;/firstName&gt;&lt;lastName&gt;Coissac&lt;/lastName&gt;&lt;/author&gt;&lt;author&gt;&lt;firstName&gt;Frederic&lt;/firstName&gt;&lt;lastName&gt;Boyer&lt;/lastName&gt;&lt;/author&gt;&lt;author&gt;&lt;firstName&gt;Florian&lt;/firstName&gt;&lt;lastName&gt;Leese&lt;/lastName&gt;&lt;/author&gt;&lt;/authors&gt;&lt;/publication&gt;&lt;/publications&gt;&lt;cites&gt;&lt;/cites&gt;&lt;/citation&gt;</w:instrText>
      </w:r>
      <w:r w:rsidRPr="006861C7">
        <w:fldChar w:fldCharType="separate"/>
      </w:r>
      <w:r>
        <w:rPr>
          <w:rFonts w:eastAsia="SimSun"/>
          <w:szCs w:val="24"/>
          <w:lang w:val="de-DE"/>
        </w:rPr>
        <w:t>(Elbrecht et al., 2016)</w:t>
      </w:r>
      <w:r w:rsidRPr="006861C7">
        <w:fldChar w:fldCharType="end"/>
      </w:r>
      <w:r w:rsidRPr="006861C7">
        <w:t xml:space="preserve">. </w:t>
      </w:r>
      <w:r w:rsidRPr="006861C7">
        <w:rPr>
          <w:i/>
        </w:rPr>
        <w:t xml:space="preserve">In </w:t>
      </w:r>
      <w:proofErr w:type="spellStart"/>
      <w:r w:rsidRPr="006861C7">
        <w:rPr>
          <w:i/>
        </w:rPr>
        <w:t>silico</w:t>
      </w:r>
      <w:proofErr w:type="spellEnd"/>
      <w:r w:rsidRPr="006861C7">
        <w:t xml:space="preserve"> analysis </w:t>
      </w:r>
      <w:r>
        <w:t xml:space="preserve">of the BF / BR primers against 15 freshwater groups </w:t>
      </w:r>
      <w:r w:rsidRPr="006861C7">
        <w:t xml:space="preserve">on NCBI and BOLD confirmed their </w:t>
      </w:r>
      <w:r>
        <w:t>good</w:t>
      </w:r>
      <w:r w:rsidRPr="006861C7">
        <w:t xml:space="preserve"> detection rates</w:t>
      </w:r>
      <w:r>
        <w:t xml:space="preserve"> (especially the BF2+BR2 combination)</w:t>
      </w:r>
      <w:r w:rsidRPr="006861C7">
        <w:t xml:space="preserve">, </w:t>
      </w:r>
      <w:r>
        <w:t xml:space="preserve">but also other primer sets from the literature are suitable for amplification of insect taxa, based on our </w:t>
      </w:r>
      <w:r w:rsidRPr="00CB662C">
        <w:rPr>
          <w:i/>
        </w:rPr>
        <w:t xml:space="preserve">in </w:t>
      </w:r>
      <w:proofErr w:type="spellStart"/>
      <w:r w:rsidRPr="00CB662C">
        <w:rPr>
          <w:i/>
        </w:rPr>
        <w:t>silico</w:t>
      </w:r>
      <w:proofErr w:type="spellEnd"/>
      <w:r>
        <w:t xml:space="preserve"> testing (e.g. the primers by </w:t>
      </w:r>
      <w:r>
        <w:fldChar w:fldCharType="begin"/>
      </w:r>
      <w:r>
        <w:instrText xml:space="preserve"> ADDIN PAPERS2_CITATIONS &lt;citation&gt;&lt;uuid&gt;74B1B5C9-B2E2-4849-A83A-E55BFF4A59A2&lt;/uuid&gt;&lt;priority&gt;0&lt;/priority&gt;&lt;publications&gt;&lt;publication&gt;&lt;uuid&gt;2F64A506-50EB-4314-9657-9F62D0FF9940&lt;/uuid&gt;&lt;volume&gt;111&lt;/volume&gt;&lt;doi&gt;10.1073/pnas.1406468111&lt;/doi&gt;&lt;startpage&gt;8007&lt;/startpage&gt;&lt;publication_date&gt;99201406031200000000222000&lt;/publication_date&gt;&lt;url&gt;http://www.pnas.org/content/111/22/8007.full&lt;/url&gt;&lt;citekey&gt;Gibson:2014ge&lt;/citekey&gt;&lt;type&gt;400&lt;/type&gt;&lt;title&gt;Simultaneous assessment of the macrobiome and microbiome in a bulk sample of tropical arthropods through DNA metasystematics.&lt;/title&gt;&lt;publisher&gt;National Acad Sciences&lt;/publisher&gt;&lt;institution&gt;Department of Integrative Biology and Biodiversity Institute of Ontario, University of Guelph, Guelph, ON, Canada N1G 2W1;&lt;/institution&gt;&lt;number&gt;22&lt;/number&gt;&lt;subtype&gt;400&lt;/subtype&gt;&lt;endpage&gt;8012&lt;/endpage&gt;&lt;bundle&gt;&lt;publication&gt;&lt;url&gt;http://www.pnas.org/&lt;/url&gt;&lt;title&gt;Proceedings of the National Academy of Sciences&lt;/title&gt;&lt;type&gt;-100&lt;/type&gt;&lt;subtype&gt;-100&lt;/subtype&gt;&lt;uuid&gt;24722CBA-50B9-4F7F-A714-51D9167ECE3A&lt;/uuid&gt;&lt;/publication&gt;&lt;/bundle&gt;&lt;authors&gt;&lt;author&gt;&lt;firstName&gt;Joel&lt;/firstName&gt;&lt;lastName&gt;Gibson&lt;/lastName&gt;&lt;/author&gt;&lt;author&gt;&lt;firstName&gt;Shadi&lt;/firstName&gt;&lt;lastName&gt;Shokralla&lt;/lastName&gt;&lt;/author&gt;&lt;author&gt;&lt;firstName&gt;Teresita&lt;/firstName&gt;&lt;middleNames&gt;M&lt;/middleNames&gt;&lt;lastName&gt;Porter&lt;/lastName&gt;&lt;/author&gt;&lt;author&gt;&lt;firstName&gt;Ian&lt;/firstName&gt;&lt;lastName&gt;King&lt;/lastName&gt;&lt;/author&gt;&lt;author&gt;&lt;nonDroppingParticle&gt;van&lt;/nonDroppingParticle&gt;&lt;firstName&gt;Steven&lt;/firstName&gt;&lt;lastName&gt;Konynenburg&lt;/lastName&gt;&lt;/author&gt;&lt;author&gt;&lt;firstName&gt;Daniel&lt;/firstName&gt;&lt;middleNames&gt;H&lt;/middleNames&gt;&lt;lastName&gt;Janzen&lt;/lastName&gt;&lt;/author&gt;&lt;author&gt;&lt;firstName&gt;Winnie&lt;/firstName&gt;&lt;lastName&gt;Hallwachs&lt;/lastName&gt;&lt;/author&gt;&lt;author&gt;&lt;firstName&gt;Mehrdad&lt;/firstName&gt;&lt;lastName&gt;Hajibabaei&lt;/lastName&gt;&lt;/author&gt;&lt;/authors&gt;&lt;/publication&gt;&lt;publication&gt;&lt;uuid&gt;07350A96-C1A9-4350-91E4-3B25E41E7567&lt;/uuid&gt;&lt;volume&gt;5&lt;/volume&gt;&lt;accepted_date&gt;99201503161200000000222000&lt;/accepted_date&gt;&lt;doi&gt;10.1038/srep09687&lt;/doi&gt;&lt;startpage&gt;9687&lt;/startpage&gt;&lt;publication_date&gt;99201500001200000000200000&lt;/publication_date&gt;&lt;url&gt;http://www.nature.com/srep/2015/150408/srep09687/full/srep09687.html&lt;/url&gt;&lt;citekey&gt;Shokralla:2015fj&lt;/citekey&gt;&lt;type&gt;400&lt;/type&gt;&lt;title&gt;Massively parallel multiplex DNA sequencing for specimen identification using an Illumina MiSeq platform.&lt;/title&gt;&lt;submission_date&gt;99201501071200000000222000&lt;/submission_date&gt;&lt;institution&gt;Department of Integrative Biology and Biodiversity Institute of Ontario, University of Guelph, 50 Stone Road East, Guelph, ON, Canada N1G 2W1.&lt;/institution&gt;&lt;subtype&gt;400&lt;/subtype&gt;&lt;bundle&gt;&lt;publication&gt;&lt;publisher&gt;Nature Publishing Group&lt;/publisher&gt;&lt;title&gt;Scientific Reports&lt;/title&gt;&lt;type&gt;-100&lt;/type&gt;&lt;subtype&gt;-100&lt;/subtype&gt;&lt;uuid&gt;B7F7CE82-0C6F-4419-952D-DBD4C63E9B6F&lt;/uuid&gt;&lt;/publication&gt;&lt;/bundle&gt;&lt;authors&gt;&lt;author&gt;&lt;firstName&gt;Shadi&lt;/firstName&gt;&lt;lastName&gt;Shokralla&lt;/lastName&gt;&lt;/author&gt;&lt;author&gt;&lt;firstName&gt;Teresita&lt;/firstName&gt;&lt;middleNames&gt;M&lt;/middleNames&gt;&lt;lastName&gt;Porter&lt;/lastName&gt;&lt;/author&gt;&lt;author&gt;&lt;firstName&gt;Joel&lt;/firstName&gt;&lt;middleNames&gt;F&lt;/middleNames&gt;&lt;lastName&gt;Gibson&lt;/lastName&gt;&lt;/author&gt;&lt;author&gt;&lt;firstName&gt;Rafal&lt;/firstName&gt;&lt;lastName&gt;Dobosz&lt;/lastName&gt;&lt;/author&gt;&lt;author&gt;&lt;firstName&gt;Daniel&lt;/firstName&gt;&lt;middleNames&gt;H&lt;/middleNames&gt;&lt;lastName&gt;Janzen&lt;/lastName&gt;&lt;/author&gt;&lt;author&gt;&lt;firstName&gt;Winnie&lt;/firstName&gt;&lt;lastName&gt;Hallwachs&lt;/lastName&gt;&lt;/author&gt;&lt;author&gt;&lt;firstName&gt;G&lt;/firstName&gt;&lt;middleNames&gt;Brian&lt;/middleNames&gt;&lt;lastName&gt;Golding&lt;/lastName&gt;&lt;/author&gt;&lt;author&gt;&lt;firstName&gt;Mehrdad&lt;/firstName&gt;&lt;lastName&gt;Hajibabaei&lt;/lastName&gt;&lt;/author&gt;&lt;/authors&gt;&lt;/publication&gt;&lt;publication&gt;&lt;uuid&gt;350DEA3B-F23E-4A91-A1B8-C741343E3054&lt;/uuid&gt;&lt;volume&gt;13&lt;/volume&gt;&lt;doi&gt;10.1111/1755-0998.12138&lt;/doi&gt;&lt;startpage&gt;851&lt;/startpage&gt;&lt;publication_date&gt;99201307131200000000222000&lt;/publication_date&gt;&lt;url&gt;http://doi.wiley.com/10.1111/1755-0998.12138&lt;/url&gt;&lt;citekey&gt;Geller:2013ka&lt;/citekey&gt;&lt;type&gt;400&lt;/type&gt;&lt;title&gt;Redesign of PCR primers for mitochondrial cytochrome coxidase subunit I for marine invertebrates and application in all-taxa biotic surveys&lt;/title&gt;&lt;number&gt;5&lt;/number&gt;&lt;subtype&gt;400&lt;/subtype&gt;&lt;endpage&gt;861&lt;/endpage&gt;&lt;bundle&gt;&lt;publication&gt;&lt;title&gt;Molecular ecology resources&lt;/title&gt;&lt;type&gt;-100&lt;/type&gt;&lt;subtype&gt;-100&lt;/subtype&gt;&lt;uuid&gt;7CE88982-FDCB-4CC7-8286-36DE0C8F5823&lt;/uuid&gt;&lt;/publication&gt;&lt;/bundle&gt;&lt;authors&gt;&lt;author&gt;&lt;firstName&gt;J&lt;/firstName&gt;&lt;lastName&gt;Geller&lt;/lastName&gt;&lt;/author&gt;&lt;author&gt;&lt;firstName&gt;C&lt;/firstName&gt;&lt;lastName&gt;Meyer&lt;/lastName&gt;&lt;/author&gt;&lt;author&gt;&lt;firstName&gt;M&lt;/firstName&gt;&lt;lastName&gt;Parker&lt;/lastName&gt;&lt;/author&gt;&lt;author&gt;&lt;firstName&gt;H&lt;/firstName&gt;&lt;lastName&gt;Hawk&lt;/lastName&gt;&lt;/author&gt;&lt;/authors&gt;&lt;/publication&gt;&lt;/publications&gt;&lt;cites&gt;&lt;/cites&gt;&lt;/citation&gt;</w:instrText>
      </w:r>
      <w:r>
        <w:fldChar w:fldCharType="separate"/>
      </w:r>
      <w:r>
        <w:rPr>
          <w:rFonts w:eastAsia="SimSun"/>
          <w:szCs w:val="24"/>
          <w:lang w:val="de-DE"/>
        </w:rPr>
        <w:t>(Geller et al., 2013; Gibson et al., 2014; Shokralla et al., 2015)</w:t>
      </w:r>
      <w:r>
        <w:fldChar w:fldCharType="end"/>
      </w:r>
      <w:r>
        <w:t>)</w:t>
      </w:r>
      <w:r w:rsidRPr="006861C7">
        <w:t xml:space="preserve">. </w:t>
      </w:r>
      <w:r w:rsidRPr="006861C7">
        <w:fldChar w:fldCharType="begin"/>
      </w:r>
      <w:r>
        <w:instrText xml:space="preserve"> ADDIN PAPERS2_CITATIONS &lt;citation&gt;&lt;uuid&gt;242835A9-4DB8-4FA0-BF91-7A93AC98A280&lt;/uuid&gt;&lt;priority&gt;0&lt;/priority&gt;&lt;publications&gt;&lt;publication&gt;&lt;uuid&gt;B5018827-4F94-4BD9-BF87-D6B167B8F74B&lt;/uuid&gt;&lt;volume&gt;10&lt;/volume&gt;&lt;doi&gt;10.1098/rsbl.2014.0562&lt;/doi&gt;&lt;startpage&gt;20140562&lt;/startpage&gt;&lt;publication_date&gt;99201409001200000000220000&lt;/publication_date&gt;&lt;url&gt;http://rsbl.royalsocietypublishing.org/cgi/doi/10.1098/rsbl.2014.0562&lt;/url&gt;&lt;citekey&gt;Deagle:2014eu&lt;/citekey&gt;&lt;type&gt;400&lt;/type&gt;&lt;title&gt;DNA metabarcoding and the cytochrome c oxidase subunit I marker: not a perfect match.&lt;/title&gt;&lt;publisher&gt;The Royal Society&lt;/publisher&gt;&lt;institution&gt;203, Channel Highway, Kingston, Tasmania, Australia bruce.deagle@aad.gov.au.&lt;/institution&gt;&lt;number&gt;9&lt;/number&gt;&lt;subtype&gt;400&lt;/subtype&gt;&lt;endpage&gt;20140562&lt;/endpage&gt;&lt;bundle&gt;&lt;publication&gt;&lt;title&gt;Biology Letters&lt;/title&gt;&lt;type&gt;-100&lt;/type&gt;&lt;subtype&gt;-100&lt;/subtype&gt;&lt;uuid&gt;31B113CA-E4EE-442C-ABBB-90F55AAB0A90&lt;/uuid&gt;&lt;/publication&gt;&lt;/bundle&gt;&lt;authors&gt;&lt;author&gt;&lt;firstName&gt;Bruce&lt;/firstName&gt;&lt;middleNames&gt;E&lt;/middleNames&gt;&lt;lastName&gt;Deagle&lt;/lastName&gt;&lt;/author&gt;&lt;author&gt;&lt;firstName&gt;Simon&lt;/firstName&gt;&lt;middleNames&gt;N&lt;/middleNames&gt;&lt;lastName&gt;Jarman&lt;/lastName&gt;&lt;/author&gt;&lt;author&gt;&lt;firstName&gt;Eric&lt;/firstName&gt;&lt;lastName&gt;Coissac&lt;/lastName&gt;&lt;/author&gt;&lt;author&gt;&lt;firstName&gt;François&lt;/firstName&gt;&lt;lastName&gt;Pompanon&lt;/lastName&gt;&lt;/author&gt;&lt;author&gt;&lt;firstName&gt;Pierre&lt;/firstName&gt;&lt;lastName&gt;Taberlet&lt;/lastName&gt;&lt;/author&gt;&lt;/authors&gt;&lt;/publication&gt;&lt;/publications&gt;&lt;cites&gt;&lt;/cites&gt;&lt;/citation&gt;</w:instrText>
      </w:r>
      <w:r w:rsidRPr="006861C7">
        <w:fldChar w:fldCharType="separate"/>
      </w:r>
      <w:r>
        <w:rPr>
          <w:rFonts w:eastAsia="SimSun"/>
          <w:szCs w:val="24"/>
          <w:lang w:val="de-DE"/>
        </w:rPr>
        <w:t>(Deagle et al., 2014)</w:t>
      </w:r>
      <w:r w:rsidRPr="006861C7">
        <w:fldChar w:fldCharType="end"/>
      </w:r>
      <w:r w:rsidRPr="006861C7">
        <w:t xml:space="preserve"> argued strongly against the use of degenerated primers to be used in DNA </w:t>
      </w:r>
      <w:proofErr w:type="spellStart"/>
      <w:r w:rsidRPr="006861C7">
        <w:t>metabarcoding</w:t>
      </w:r>
      <w:proofErr w:type="spellEnd"/>
      <w:r w:rsidRPr="006861C7">
        <w:t xml:space="preserve"> and instead proposed the use of ribosomal markers with more conserved binding regions. However, using a highly standardized approach with 10 </w:t>
      </w:r>
      <w:r>
        <w:t xml:space="preserve">independent </w:t>
      </w:r>
      <w:r w:rsidRPr="006861C7">
        <w:t>taxa</w:t>
      </w:r>
      <w:r>
        <w:t>-</w:t>
      </w:r>
      <w:r w:rsidRPr="006861C7">
        <w:t xml:space="preserve">rich mock communities, we here clearly show that the application of highly degenerated COI primers is not only feasible but even superior to ribosomal </w:t>
      </w:r>
      <w:proofErr w:type="spellStart"/>
      <w:r w:rsidRPr="006861C7">
        <w:t>metabarcoding</w:t>
      </w:r>
      <w:proofErr w:type="spellEnd"/>
      <w:r w:rsidRPr="006861C7">
        <w:t xml:space="preserve"> of animals with respect to primer performance and available reference databases.</w:t>
      </w:r>
    </w:p>
    <w:p w14:paraId="655C5FF6" w14:textId="77777777" w:rsidR="00DB41E2" w:rsidRPr="006861C7" w:rsidRDefault="00DB41E2" w:rsidP="00DB41E2">
      <w:pPr>
        <w:pStyle w:val="KeinLeerraum"/>
      </w:pPr>
    </w:p>
    <w:p w14:paraId="23DA5868" w14:textId="77777777" w:rsidR="00DB41E2" w:rsidRDefault="00DB41E2" w:rsidP="00DB41E2">
      <w:pPr>
        <w:pStyle w:val="KeinLeerraum"/>
      </w:pPr>
      <w:r w:rsidRPr="006861C7">
        <w:t xml:space="preserve">While our developed primers show very reliable amplification results, there are also problems associated with the primers and the </w:t>
      </w:r>
      <w:proofErr w:type="spellStart"/>
      <w:r w:rsidRPr="006861C7">
        <w:t>metabarcoding</w:t>
      </w:r>
      <w:proofErr w:type="spellEnd"/>
      <w:r w:rsidRPr="006861C7">
        <w:t xml:space="preserve"> protocol. First, the use of fusion primers potentially decreases the chance of tag switching and reduces needed laboratory work, it also reduces PCR efficiency substantially </w:t>
      </w:r>
      <w:r w:rsidRPr="006861C7">
        <w:fldChar w:fldCharType="begin"/>
      </w:r>
      <w:r>
        <w:instrText xml:space="preserve"> ADDIN PAPERS2_CITATIONS &lt;citation&gt;&lt;uuid&gt;CA048416-2587-4A79-A174-072C6B84B379&lt;/uuid&gt;&lt;priority&gt;0&lt;/priority&gt;&lt;publications&gt;&lt;publication&gt;&lt;uuid&gt;7CD4B5C1-251A-4BF6-B442-315227777205&lt;/uuid&gt;&lt;volume&gt;15&lt;/volume&gt;&lt;doi&gt;10.1111/1755-0998.12402&lt;/doi&gt;&lt;startpage&gt;1289&lt;/startpage&gt;&lt;publication_date&gt;99201503201200000000222000&lt;/publication_date&gt;&lt;url&gt;http://doi.wiley.com/10.1111/1755-0998.12402&lt;/url&gt;&lt;citekey&gt;Schnell:2015hy&lt;/citekey&gt;&lt;type&gt;400&lt;/type&gt;&lt;title&gt;Tag jumps illuminated - reducing sequence-to-sample misidentifications in metabarcoding studies&lt;/title&gt;&lt;number&gt;6&lt;/number&gt;&lt;subtype&gt;400&lt;/subtype&gt;&lt;endpage&gt;1303&lt;/endpage&gt;&lt;bundle&gt;&lt;publication&gt;&lt;title&gt;Molecular ecology resources&lt;/title&gt;&lt;type&gt;-100&lt;/type&gt;&lt;subtype&gt;-100&lt;/subtype&gt;&lt;uuid&gt;7CE88982-FDCB-4CC7-8286-36DE0C8F5823&lt;/uuid&gt;&lt;/publication&gt;&lt;/bundle&gt;&lt;authors&gt;&lt;author&gt;&lt;firstName&gt;Ida&lt;/firstName&gt;&lt;middleNames&gt;Baerholm&lt;/middleNames&gt;&lt;lastName&gt;Schnell&lt;/lastName&gt;&lt;/author&gt;&lt;author&gt;&lt;firstName&gt;Kristine&lt;/firstName&gt;&lt;lastName&gt;Bohmann&lt;/lastName&gt;&lt;/author&gt;&lt;author&gt;&lt;firstName&gt;M&lt;/firstName&gt;&lt;middleNames&gt;THOMAS P&lt;/middleNames&gt;&lt;lastName&gt;Gilbert&lt;/lastName&gt;&lt;/author&gt;&lt;/authors&gt;&lt;/publication&gt;&lt;/publications&gt;&lt;cites&gt;&lt;/cites&gt;&lt;/citation&gt;</w:instrText>
      </w:r>
      <w:r w:rsidRPr="006861C7">
        <w:fldChar w:fldCharType="separate"/>
      </w:r>
      <w:r>
        <w:rPr>
          <w:rFonts w:eastAsia="SimSun"/>
          <w:szCs w:val="24"/>
          <w:lang w:val="de-DE"/>
        </w:rPr>
        <w:t>(Schnell et al., 2015)</w:t>
      </w:r>
      <w:r w:rsidRPr="006861C7">
        <w:fldChar w:fldCharType="end"/>
      </w:r>
      <w:r w:rsidRPr="006861C7">
        <w:t xml:space="preserve">. Primer combinations involving BF2 primers were less affected by this issue, it was more pronounced with the BF1 primer (especially in combination with BR1). Furthermore, concerns have been raised by biases associated with use of tagged primers </w:t>
      </w:r>
      <w:r w:rsidRPr="006861C7">
        <w:fldChar w:fldCharType="begin"/>
      </w:r>
      <w:r>
        <w:instrText xml:space="preserve"> ADDIN PAPERS2_CITATIONS &lt;citation&gt;&lt;uuid&gt;C6B489BE-F5BE-4B4C-836E-021FD9DA234E&lt;/uuid&gt;&lt;priority&gt;0&lt;/priority&gt;&lt;publications&gt;&lt;publication&gt;&lt;volume&gt;11&lt;/volume&gt;&lt;publication_date&gt;99201603071200000000222000&lt;/publication_date&gt;&lt;number&gt;3&lt;/number&gt;&lt;doi&gt;10.1371/journal.pone.0148698&lt;/doi&gt;&lt;startpage&gt;e0148698&lt;/startpage&gt;&lt;title&gt;Indexed PCR Primers Induce Template-Specific Bias in Large-Scale DNA Sequencing Studies&lt;/title&gt;&lt;uuid&gt;C421E3D3-C1ED-4179-AEC4-E3AD91A635A5&lt;/uuid&gt;&lt;subtype&gt;400&lt;/subtype&gt;&lt;endpage&gt;11&lt;/endpage&gt;&lt;type&gt;400&lt;/type&gt;&lt;url&gt;http://dx.plos.org/10.1371/journal.pone.0148698&lt;/url&gt;&lt;bundle&gt;&lt;publication&gt;&lt;url&gt;http://www.plosone.org/&lt;/url&gt;&lt;title&gt;PloS one&lt;/title&gt;&lt;type&gt;-100&lt;/type&gt;&lt;subtype&gt;-100&lt;/subtype&gt;&lt;uuid&gt;1D6F4235-EFEF-4B84-B06B-A3B239622C6C&lt;/uuid&gt;&lt;/publication&gt;&lt;/bundle&gt;&lt;authors&gt;&lt;author&gt;&lt;firstName&gt;James&lt;/firstName&gt;&lt;middleNames&gt;L&lt;/middleNames&gt;&lt;lastName&gt;O’Donnell&lt;/lastName&gt;&lt;/author&gt;&lt;author&gt;&lt;firstName&gt;Ryan&lt;/firstName&gt;&lt;middleNames&gt;P&lt;/middleNames&gt;&lt;lastName&gt;Kelly&lt;/lastName&gt;&lt;/author&gt;&lt;author&gt;&lt;firstName&gt;Natalie&lt;/firstName&gt;&lt;middleNames&gt;C&lt;/middleNames&gt;&lt;lastName&gt;Lowell&lt;/lastName&gt;&lt;/author&gt;&lt;author&gt;&lt;firstName&gt;Jesse&lt;/firstName&gt;&lt;middleNames&gt;A&lt;/middleNames&gt;&lt;lastName&gt;Port&lt;/lastName&gt;&lt;/author&gt;&lt;/authors&gt;&lt;editors&gt;&lt;author&gt;&lt;firstName&gt;Andrew&lt;/firstName&gt;&lt;middleNames&gt;R&lt;/middleNames&gt;&lt;lastName&gt;Mahon&lt;/lastName&gt;&lt;/author&gt;&lt;/editors&gt;&lt;/publication&gt;&lt;/publications&gt;&lt;cites&gt;&lt;/cites&gt;&lt;/citation&gt;</w:instrText>
      </w:r>
      <w:r w:rsidRPr="006861C7">
        <w:fldChar w:fldCharType="separate"/>
      </w:r>
      <w:r>
        <w:rPr>
          <w:rFonts w:eastAsia="SimSun"/>
          <w:szCs w:val="24"/>
          <w:lang w:val="de-DE"/>
        </w:rPr>
        <w:t>(O’Donnell et al., 2016)</w:t>
      </w:r>
      <w:r w:rsidRPr="006861C7">
        <w:fldChar w:fldCharType="end"/>
      </w:r>
      <w:r w:rsidRPr="006861C7">
        <w:t xml:space="preserve">. While we could not observe any obvious effects in our current dataset (most taxa are detected to equal proportions regardless of primer tag), there was a drop in sequence quality when using the P5_BF1_2 primer. Whether this was a systematic effect associated with the tag of the P5_BF1_2 primer or a problem in primer synthesis / quality could not be determined from this dataset. Independently of the source of this possible bias no effects on the number of detected taxa was observed. Further, 17% of reads from the BF2+BR2 primer combinations were discarded due to high expected error values, as the overlap was limited with 250 PE sequencing of a 421 </w:t>
      </w:r>
      <w:proofErr w:type="spellStart"/>
      <w:r w:rsidRPr="006861C7">
        <w:t>bp</w:t>
      </w:r>
      <w:proofErr w:type="spellEnd"/>
      <w:r w:rsidRPr="006861C7">
        <w:t xml:space="preserve"> region on the </w:t>
      </w:r>
      <w:proofErr w:type="spellStart"/>
      <w:r w:rsidRPr="006861C7">
        <w:t>HiSeq</w:t>
      </w:r>
      <w:proofErr w:type="spellEnd"/>
      <w:r w:rsidRPr="006861C7">
        <w:t xml:space="preserve"> system. Further, with highly degenerated primers the specificity of the primers decreases </w:t>
      </w:r>
      <w:r w:rsidRPr="006861C7">
        <w:fldChar w:fldCharType="begin"/>
      </w:r>
      <w:r>
        <w:instrText xml:space="preserve"> ADDIN PAPERS2_CITATIONS &lt;citation&gt;&lt;uuid&gt;86A5FA92-9FE8-4A4C-B81A-459975835573&lt;/uuid&gt;&lt;priority&gt;0&lt;/priority&gt;&lt;publications&gt;&lt;publication&gt;&lt;uuid&gt;B5018827-4F94-4BD9-BF87-D6B167B8F74B&lt;/uuid&gt;&lt;volume&gt;10&lt;/volume&gt;&lt;doi&gt;10.1098/rsbl.2014.0562&lt;/doi&gt;&lt;startpage&gt;20140562&lt;/startpage&gt;&lt;publication_date&gt;99201409001200000000220000&lt;/publication_date&gt;&lt;url&gt;http://rsbl.royalsocietypublishing.org/cgi/doi/10.1098/rsbl.2014.0562&lt;/url&gt;&lt;citekey&gt;Deagle:2014eu&lt;/citekey&gt;&lt;type&gt;400&lt;/type&gt;&lt;title&gt;DNA metabarcoding and the cytochrome c oxidase subunit I marker: not a perfect match.&lt;/title&gt;&lt;publisher&gt;The Royal Society&lt;/publisher&gt;&lt;institution&gt;203, Channel Highway, Kingston, Tasmania, Australia bruce.deagle@aad.gov.au.&lt;/institution&gt;&lt;number&gt;9&lt;/number&gt;&lt;subtype&gt;400&lt;/subtype&gt;&lt;endpage&gt;20140562&lt;/endpage&gt;&lt;bundle&gt;&lt;publication&gt;&lt;title&gt;Biology Letters&lt;/title&gt;&lt;type&gt;-100&lt;/type&gt;&lt;subtype&gt;-100&lt;/subtype&gt;&lt;uuid&gt;31B113CA-E4EE-442C-ABBB-90F55AAB0A90&lt;/uuid&gt;&lt;/publication&gt;&lt;/bundle&gt;&lt;authors&gt;&lt;author&gt;&lt;firstName&gt;Bruce&lt;/firstName&gt;&lt;middleNames&gt;E&lt;/middleNames&gt;&lt;lastName&gt;Deagle&lt;/lastName&gt;&lt;/author&gt;&lt;author&gt;&lt;firstName&gt;Simon&lt;/firstName&gt;&lt;middleNames&gt;N&lt;/middleNames&gt;&lt;lastName&gt;Jarman&lt;/lastName&gt;&lt;/author&gt;&lt;author&gt;&lt;firstName&gt;Eric&lt;/firstName&gt;&lt;lastName&gt;Coissac&lt;/lastName&gt;&lt;/author&gt;&lt;author&gt;&lt;firstName&gt;François&lt;/firstName&gt;&lt;lastName&gt;Pompanon&lt;/lastName&gt;&lt;/author&gt;&lt;author&gt;&lt;firstName&gt;Pierre&lt;/firstName&gt;&lt;lastName&gt;Taberlet&lt;/lastName&gt;&lt;/author&gt;&lt;/authors&gt;&lt;/publication&gt;&lt;/publications&gt;&lt;cites&gt;&lt;/cites&gt;&lt;/citation&gt;</w:instrText>
      </w:r>
      <w:r w:rsidRPr="006861C7">
        <w:fldChar w:fldCharType="separate"/>
      </w:r>
      <w:r>
        <w:rPr>
          <w:rFonts w:eastAsia="SimSun"/>
          <w:szCs w:val="24"/>
          <w:lang w:val="de-DE"/>
        </w:rPr>
        <w:t>(Deagle et al., 2014)</w:t>
      </w:r>
      <w:r w:rsidRPr="006861C7">
        <w:fldChar w:fldCharType="end"/>
      </w:r>
      <w:r w:rsidRPr="006861C7">
        <w:t xml:space="preserve"> potentially amplifying non target regions. This effect was often minimal, with few sequences deviating from the expected length (below &lt;0.5 % for most primers sets). These numbers were potentially inflated by PCR / sequencing errors and </w:t>
      </w:r>
      <w:proofErr w:type="spellStart"/>
      <w:r w:rsidRPr="006861C7">
        <w:t>pseudogenes</w:t>
      </w:r>
      <w:proofErr w:type="spellEnd"/>
      <w:r w:rsidRPr="006861C7">
        <w:t xml:space="preserve">. More problematically, the BF1 and BF2 primers were affected by </w:t>
      </w:r>
      <w:proofErr w:type="spellStart"/>
      <w:r w:rsidRPr="006861C7">
        <w:t>indel</w:t>
      </w:r>
      <w:proofErr w:type="spellEnd"/>
      <w:r w:rsidRPr="006861C7">
        <w:t xml:space="preserve"> effects making up to 40% of the sequences 1-2 </w:t>
      </w:r>
      <w:proofErr w:type="spellStart"/>
      <w:r w:rsidRPr="006861C7">
        <w:t>bp</w:t>
      </w:r>
      <w:proofErr w:type="spellEnd"/>
      <w:r w:rsidRPr="006861C7">
        <w:t xml:space="preserve"> shorter or longer at the primer binding site. </w:t>
      </w:r>
      <w:r>
        <w:t>The reasons for this effects, which were</w:t>
      </w:r>
      <w:r w:rsidRPr="006861C7">
        <w:t xml:space="preserve"> also observed to a lesser degree in datasets from previous studies </w:t>
      </w:r>
      <w:r w:rsidRPr="006861C7">
        <w:fldChar w:fldCharType="begin"/>
      </w:r>
      <w:r>
        <w:instrText xml:space="preserve"> ADDIN PAPERS2_CITATIONS &lt;citation&gt;&lt;uuid&gt;1FF947C3-DE07-44FA-A494-B68D35DBB041&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uuid&gt;D0DC0C18-B72D-4F3C-8354-44EC702E46B7&lt;/uuid&gt;&lt;volume&gt;4&lt;/volume&gt;&lt;doi&gt;10.7717/peerj.1966&lt;/doi&gt;&lt;startpage&gt;e1966&lt;/startpage&gt;&lt;publication_date&gt;99201600001200000000200000&lt;/publication_date&gt;&lt;url&gt;https://peerj.com/articles/1966&lt;/url&gt;&lt;type&gt;400&lt;/type&gt;&lt;title&gt;Testing the potential of a ribosomal 16S marker for DNA metabarcoding of insects&lt;/title&gt;&lt;publisher&gt;PeerJ Inc.&lt;/publisher&gt;&lt;number&gt;4&lt;/number&gt;&lt;subtype&gt;400&lt;/subtype&gt;&lt;endpage&gt;12&lt;/endpage&gt;&lt;bundle&gt;&lt;publication&gt;&lt;title&gt;PeerJ&lt;/title&gt;&lt;type&gt;-100&lt;/type&gt;&lt;subtype&gt;-100&lt;/subtype&gt;&lt;uuid&gt;5EBA4B9F-B369-4753-B381-FDCC83951E9F&lt;/uuid&gt;&lt;/publication&gt;&lt;/bundle&gt;&lt;authors&gt;&lt;author&gt;&lt;firstName&gt;Vasco&lt;/firstName&gt;&lt;lastName&gt;Elbrecht&lt;/lastName&gt;&lt;/author&gt;&lt;author&gt;&lt;firstName&gt;Pierre&lt;/firstName&gt;&lt;lastName&gt;Taberlet&lt;/lastName&gt;&lt;/author&gt;&lt;author&gt;&lt;firstName&gt;Tony&lt;/firstName&gt;&lt;lastName&gt;Dejean&lt;/lastName&gt;&lt;/author&gt;&lt;author&gt;&lt;firstName&gt;Alice&lt;/firstName&gt;&lt;lastName&gt;Valentini&lt;/lastName&gt;&lt;/author&gt;&lt;author&gt;&lt;firstName&gt;Philippe&lt;/firstName&gt;&lt;lastName&gt;Usseglio-Polatera&lt;/lastName&gt;&lt;/author&gt;&lt;author&gt;&lt;firstName&gt;Jean-Nicolas&lt;/firstName&gt;&lt;lastName&gt;Beisel&lt;/lastName&gt;&lt;/author&gt;&lt;author&gt;&lt;firstName&gt;Eric&lt;/firstName&gt;&lt;lastName&gt;Coissac&lt;/lastName&gt;&lt;/author&gt;&lt;author&gt;&lt;firstName&gt;Frederic&lt;/firstName&gt;&lt;lastName&gt;Boyer&lt;/lastName&gt;&lt;/author&gt;&lt;author&gt;&lt;firstName&gt;Florian&lt;/firstName&gt;&lt;lastName&gt;Leese&lt;/lastName&gt;&lt;/author&gt;&lt;/authors&gt;&lt;/publication&gt;&lt;/publications&gt;&lt;cites&gt;&lt;/cites&gt;&lt;/citation&gt;</w:instrText>
      </w:r>
      <w:r w:rsidRPr="006861C7">
        <w:fldChar w:fldCharType="separate"/>
      </w:r>
      <w:r>
        <w:rPr>
          <w:rFonts w:eastAsia="SimSun"/>
          <w:szCs w:val="24"/>
          <w:lang w:val="de-DE"/>
        </w:rPr>
        <w:t>(Elbrecht and Leese, 2015; Elbrecht et al., 2016)</w:t>
      </w:r>
      <w:r w:rsidRPr="006861C7">
        <w:fldChar w:fldCharType="end"/>
      </w:r>
      <w:r>
        <w:t>, are unclear</w:t>
      </w:r>
      <w:r w:rsidRPr="006861C7">
        <w:t>. Possibly, the high degeneracy of the forward primers in combination with low diversity nucleotides at the primer’s 3' end (e.g. C[</w:t>
      </w:r>
      <w:proofErr w:type="spellStart"/>
      <w:r w:rsidRPr="006861C7">
        <w:t>cta</w:t>
      </w:r>
      <w:proofErr w:type="spellEnd"/>
      <w:r w:rsidRPr="006861C7">
        <w:t>]TT[</w:t>
      </w:r>
      <w:proofErr w:type="spellStart"/>
      <w:r w:rsidRPr="006861C7">
        <w:t>tc</w:t>
      </w:r>
      <w:proofErr w:type="spellEnd"/>
      <w:r w:rsidRPr="006861C7">
        <w:t xml:space="preserve">]CC in BF2) makes this </w:t>
      </w:r>
      <w:r>
        <w:t xml:space="preserve">effect particularly pronounced. </w:t>
      </w:r>
      <w:r w:rsidRPr="006861C7">
        <w:t xml:space="preserve">Thus, we recommend designing primers with two unique nucleotides on the 3' end. The effect of this minimal shifting shortens the read length by 1-2 </w:t>
      </w:r>
      <w:proofErr w:type="spellStart"/>
      <w:r w:rsidRPr="006861C7">
        <w:t>bp</w:t>
      </w:r>
      <w:proofErr w:type="spellEnd"/>
      <w:r w:rsidRPr="006861C7">
        <w:t xml:space="preserve"> which has no effect on detection of taxa (OTUs will still match the same reference taxon, regardless of 1-2 </w:t>
      </w:r>
      <w:proofErr w:type="spellStart"/>
      <w:r w:rsidRPr="006861C7">
        <w:t>bp</w:t>
      </w:r>
      <w:proofErr w:type="spellEnd"/>
      <w:r w:rsidRPr="006861C7">
        <w:t xml:space="preserve"> being clipped from the sequence). However, when calculating OTU based biodiversity indices, the small shift might lead to a bias in these metrics due to inflated OTU numbers. </w:t>
      </w:r>
      <w:r>
        <w:t xml:space="preserve">This might be solved by aligning OTU sequences, and trimming them to the same length, but we still </w:t>
      </w:r>
      <w:r w:rsidRPr="006861C7">
        <w:t>advise to take OTU based diversity measures with caution when using the BF / BR primer set.</w:t>
      </w:r>
      <w:r>
        <w:t xml:space="preserve"> Finally, we have to acknowledge </w:t>
      </w:r>
      <w:r>
        <w:lastRenderedPageBreak/>
        <w:t xml:space="preserve">that the BF / BR primer sets showed poor performance on non-insect </w:t>
      </w:r>
      <w:proofErr w:type="spellStart"/>
      <w:r>
        <w:t>Metazoa</w:t>
      </w:r>
      <w:proofErr w:type="spellEnd"/>
      <w:r>
        <w:t xml:space="preserve"> like </w:t>
      </w:r>
      <w:proofErr w:type="spellStart"/>
      <w:r w:rsidRPr="00286E3B">
        <w:t>Bivalvia</w:t>
      </w:r>
      <w:proofErr w:type="spellEnd"/>
      <w:r w:rsidRPr="00286E3B">
        <w:t xml:space="preserve">, </w:t>
      </w:r>
      <w:proofErr w:type="spellStart"/>
      <w:r w:rsidRPr="00286E3B">
        <w:t>Turbellaria</w:t>
      </w:r>
      <w:proofErr w:type="spellEnd"/>
      <w:r w:rsidRPr="00286E3B">
        <w:t xml:space="preserve">, </w:t>
      </w:r>
      <w:proofErr w:type="spellStart"/>
      <w:r w:rsidRPr="00286E3B">
        <w:t>Amphipoda</w:t>
      </w:r>
      <w:proofErr w:type="spellEnd"/>
      <w:r w:rsidRPr="00286E3B">
        <w:t xml:space="preserve"> and </w:t>
      </w:r>
      <w:proofErr w:type="spellStart"/>
      <w:r w:rsidRPr="00286E3B">
        <w:t>Hirudinea</w:t>
      </w:r>
      <w:proofErr w:type="spellEnd"/>
      <w:r>
        <w:t>, which are genetically distant to insects, making the development of an universal primer difficult.</w:t>
      </w:r>
    </w:p>
    <w:p w14:paraId="0A7E40D0" w14:textId="77777777" w:rsidR="00DB41E2" w:rsidRDefault="00DB41E2" w:rsidP="00DB41E2">
      <w:pPr>
        <w:pStyle w:val="KeinLeerraum"/>
      </w:pPr>
    </w:p>
    <w:p w14:paraId="2889136D" w14:textId="77777777" w:rsidR="00DB41E2" w:rsidRPr="006861C7" w:rsidRDefault="00DB41E2" w:rsidP="00DB41E2">
      <w:pPr>
        <w:pStyle w:val="KeinLeerraum"/>
      </w:pPr>
      <w:r>
        <w:t xml:space="preserve">While the primer sets developed and thoroughly evaluated in this study are a step in the right direction, they by no means perfect. We can recommend using the BF2+BR2 or BF2+BR1 primer set for targeting freshwater taxa with DNA </w:t>
      </w:r>
      <w:proofErr w:type="spellStart"/>
      <w:r>
        <w:t>metabarcoding</w:t>
      </w:r>
      <w:proofErr w:type="spellEnd"/>
      <w:r>
        <w:t>, we also have to stress that for routine monitoring better primers are desirable.</w:t>
      </w:r>
    </w:p>
    <w:p w14:paraId="2DBB085A" w14:textId="77777777" w:rsidR="00DB41E2" w:rsidRPr="006861C7" w:rsidRDefault="00DB41E2" w:rsidP="00DB41E2">
      <w:pPr>
        <w:pStyle w:val="TextBody"/>
        <w:spacing w:line="240" w:lineRule="auto"/>
      </w:pPr>
    </w:p>
    <w:p w14:paraId="7B3C30AB" w14:textId="77777777" w:rsidR="00DB41E2" w:rsidRPr="006861C7" w:rsidRDefault="00DB41E2" w:rsidP="00DB41E2">
      <w:pPr>
        <w:pStyle w:val="berschrift2"/>
      </w:pPr>
      <w:r w:rsidRPr="006861C7">
        <w:t>Primer success is determined by base degeneracy</w:t>
      </w:r>
      <w:r>
        <w:t xml:space="preserve"> and reference data</w:t>
      </w:r>
    </w:p>
    <w:p w14:paraId="4F24175E" w14:textId="77777777" w:rsidR="00DB41E2" w:rsidRDefault="00DB41E2" w:rsidP="00DB41E2">
      <w:pPr>
        <w:pStyle w:val="KeinLeerraum"/>
      </w:pPr>
      <w:r w:rsidRPr="006861C7">
        <w:rPr>
          <w:i/>
        </w:rPr>
        <w:t xml:space="preserve">In </w:t>
      </w:r>
      <w:proofErr w:type="spellStart"/>
      <w:r w:rsidRPr="006861C7">
        <w:rPr>
          <w:i/>
        </w:rPr>
        <w:t>silico</w:t>
      </w:r>
      <w:proofErr w:type="spellEnd"/>
      <w:r w:rsidRPr="006861C7">
        <w:t xml:space="preserve"> analysis of 23 potentially suitable primers for COI DNA </w:t>
      </w:r>
      <w:proofErr w:type="spellStart"/>
      <w:r w:rsidRPr="006861C7">
        <w:t>metabarcoding</w:t>
      </w:r>
      <w:proofErr w:type="spellEnd"/>
      <w:r w:rsidRPr="006861C7">
        <w:t xml:space="preserve"> showed that high primer degeneracy leads to the best amplification of freshwater and insect taxa. This was also confirmed experimentally with the tested </w:t>
      </w:r>
      <w:proofErr w:type="spellStart"/>
      <w:r w:rsidRPr="006861C7">
        <w:t>macroinvertebrate</w:t>
      </w:r>
      <w:proofErr w:type="spellEnd"/>
      <w:r w:rsidRPr="006861C7">
        <w:t xml:space="preserve"> mock communities, which showed high primer bias with standard </w:t>
      </w:r>
      <w:proofErr w:type="spellStart"/>
      <w:r w:rsidRPr="006861C7">
        <w:t>Folmer</w:t>
      </w:r>
      <w:proofErr w:type="spellEnd"/>
      <w:r w:rsidRPr="006861C7">
        <w:t xml:space="preserve"> primers </w:t>
      </w:r>
      <w:r w:rsidRPr="006861C7">
        <w:fldChar w:fldCharType="begin"/>
      </w:r>
      <w:r>
        <w:instrText xml:space="preserve"> ADDIN PAPERS2_CITATIONS &lt;citation&gt;&lt;uuid&gt;55E009EC-72BB-435C-8C04-7BD55869DCFD&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Pr="006861C7">
        <w:fldChar w:fldCharType="separate"/>
      </w:r>
      <w:r>
        <w:rPr>
          <w:rFonts w:eastAsia="SimSun"/>
          <w:szCs w:val="24"/>
          <w:lang w:val="de-DE"/>
        </w:rPr>
        <w:t>(Elbrecht and Leese, 2015)</w:t>
      </w:r>
      <w:r w:rsidRPr="006861C7">
        <w:fldChar w:fldCharType="end"/>
      </w:r>
      <w:r w:rsidRPr="006861C7">
        <w:t xml:space="preserve"> but a very consistent amplification with higher detection rates with the primers developed in this study. Possibly, other primers (</w:t>
      </w:r>
      <w:r w:rsidRPr="006861C7">
        <w:fldChar w:fldCharType="begin"/>
      </w:r>
      <w:r>
        <w:instrText xml:space="preserve"> ADDIN PAPERS2_CITATIONS &lt;citation&gt;&lt;uuid&gt;05068214-9871-4027-9649-3A978C045C3C&lt;/uuid&gt;&lt;priority&gt;0&lt;/priority&gt;&lt;publications&gt;&lt;publication&gt;&lt;uuid&gt;2F64A506-50EB-4314-9657-9F62D0FF9940&lt;/uuid&gt;&lt;volume&gt;111&lt;/volume&gt;&lt;doi&gt;10.1073/pnas.1406468111&lt;/doi&gt;&lt;startpage&gt;8007&lt;/startpage&gt;&lt;publication_date&gt;99201406031200000000222000&lt;/publication_date&gt;&lt;url&gt;http://www.pnas.org/content/111/22/8007.full&lt;/url&gt;&lt;citekey&gt;Gibson:2014ge&lt;/citekey&gt;&lt;type&gt;400&lt;/type&gt;&lt;title&gt;Simultaneous assessment of the macrobiome and microbiome in a bulk sample of tropical arthropods through DNA metasystematics.&lt;/title&gt;&lt;publisher&gt;National Acad Sciences&lt;/publisher&gt;&lt;institution&gt;Department of Integrative Biology and Biodiversity Institute of Ontario, University of Guelph, Guelph, ON, Canada N1G 2W1;&lt;/institution&gt;&lt;number&gt;22&lt;/number&gt;&lt;subtype&gt;400&lt;/subtype&gt;&lt;endpage&gt;8012&lt;/endpage&gt;&lt;bundle&gt;&lt;publication&gt;&lt;url&gt;http://www.pnas.org/&lt;/url&gt;&lt;title&gt;Proceedings of the National Academy of Sciences&lt;/title&gt;&lt;type&gt;-100&lt;/type&gt;&lt;subtype&gt;-100&lt;/subtype&gt;&lt;uuid&gt;24722CBA-50B9-4F7F-A714-51D9167ECE3A&lt;/uuid&gt;&lt;/publication&gt;&lt;/bundle&gt;&lt;authors&gt;&lt;author&gt;&lt;firstName&gt;Joel&lt;/firstName&gt;&lt;lastName&gt;Gibson&lt;/lastName&gt;&lt;/author&gt;&lt;author&gt;&lt;firstName&gt;Shadi&lt;/firstName&gt;&lt;lastName&gt;Shokralla&lt;/lastName&gt;&lt;/author&gt;&lt;author&gt;&lt;firstName&gt;Teresita&lt;/firstName&gt;&lt;middleNames&gt;M&lt;/middleNames&gt;&lt;lastName&gt;Porter&lt;/lastName&gt;&lt;/author&gt;&lt;author&gt;&lt;firstName&gt;Ian&lt;/firstName&gt;&lt;lastName&gt;King&lt;/lastName&gt;&lt;/author&gt;&lt;author&gt;&lt;nonDroppingParticle&gt;van&lt;/nonDroppingParticle&gt;&lt;firstName&gt;Steven&lt;/firstName&gt;&lt;lastName&gt;Konynenburg&lt;/lastName&gt;&lt;/author&gt;&lt;author&gt;&lt;firstName&gt;Daniel&lt;/firstName&gt;&lt;middleNames&gt;H&lt;/middleNames&gt;&lt;lastName&gt;Janzen&lt;/lastName&gt;&lt;/author&gt;&lt;author&gt;&lt;firstName&gt;Winnie&lt;/firstName&gt;&lt;lastName&gt;Hallwachs&lt;/lastName&gt;&lt;/author&gt;&lt;author&gt;&lt;firstName&gt;Mehrdad&lt;/firstName&gt;&lt;lastName&gt;Hajibabaei&lt;/lastName&gt;&lt;/author&gt;&lt;/authors&gt;&lt;/publication&gt;&lt;/publications&gt;&lt;cites&gt;&lt;/cites&gt;&lt;/citation&gt;</w:instrText>
      </w:r>
      <w:r w:rsidRPr="006861C7">
        <w:fldChar w:fldCharType="separate"/>
      </w:r>
      <w:r>
        <w:rPr>
          <w:rFonts w:eastAsia="SimSun"/>
          <w:szCs w:val="24"/>
          <w:lang w:val="de-DE"/>
        </w:rPr>
        <w:t>(Gibson et al., 2014)</w:t>
      </w:r>
      <w:r w:rsidRPr="006861C7">
        <w:fldChar w:fldCharType="end"/>
      </w:r>
      <w:r w:rsidRPr="006861C7">
        <w:t xml:space="preserve">, </w:t>
      </w:r>
      <w:r w:rsidRPr="006861C7">
        <w:fldChar w:fldCharType="begin"/>
      </w:r>
      <w:r>
        <w:instrText xml:space="preserve"> ADDIN PAPERS2_CITATIONS &lt;citation&gt;&lt;uuid&gt;9840B33B-0ABA-4DDC-880C-DD056A844668&lt;/uuid&gt;&lt;priority&gt;0&lt;/priority&gt;&lt;publications&gt;&lt;publication&gt;&lt;uuid&gt;07350A96-C1A9-4350-91E4-3B25E41E7567&lt;/uuid&gt;&lt;volume&gt;5&lt;/volume&gt;&lt;accepted_date&gt;99201503161200000000222000&lt;/accepted_date&gt;&lt;doi&gt;10.1038/srep09687&lt;/doi&gt;&lt;startpage&gt;9687&lt;/startpage&gt;&lt;publication_date&gt;99201500001200000000200000&lt;/publication_date&gt;&lt;url&gt;http://www.nature.com/srep/2015/150408/srep09687/full/srep09687.html&lt;/url&gt;&lt;citekey&gt;Shokralla:2015fj&lt;/citekey&gt;&lt;type&gt;400&lt;/type&gt;&lt;title&gt;Massively parallel multiplex DNA sequencing for specimen identification using an Illumina MiSeq platform.&lt;/title&gt;&lt;submission_date&gt;99201501071200000000222000&lt;/submission_date&gt;&lt;institution&gt;Department of Integrative Biology and Biodiversity Institute of Ontario, University of Guelph, 50 Stone Road East, Guelph, ON, Canada N1G 2W1.&lt;/institution&gt;&lt;subtype&gt;400&lt;/subtype&gt;&lt;bundle&gt;&lt;publication&gt;&lt;publisher&gt;Nature Publishing Group&lt;/publisher&gt;&lt;title&gt;Scientific Reports&lt;/title&gt;&lt;type&gt;-100&lt;/type&gt;&lt;subtype&gt;-100&lt;/subtype&gt;&lt;uuid&gt;B7F7CE82-0C6F-4419-952D-DBD4C63E9B6F&lt;/uuid&gt;&lt;/publication&gt;&lt;/bundle&gt;&lt;authors&gt;&lt;author&gt;&lt;firstName&gt;Shadi&lt;/firstName&gt;&lt;lastName&gt;Shokralla&lt;/lastName&gt;&lt;/author&gt;&lt;author&gt;&lt;firstName&gt;Teresita&lt;/firstName&gt;&lt;middleNames&gt;M&lt;/middleNames&gt;&lt;lastName&gt;Porter&lt;/lastName&gt;&lt;/author&gt;&lt;author&gt;&lt;firstName&gt;Joel&lt;/firstName&gt;&lt;middleNames&gt;F&lt;/middleNames&gt;&lt;lastName&gt;Gibson&lt;/lastName&gt;&lt;/author&gt;&lt;author&gt;&lt;firstName&gt;Rafal&lt;/firstName&gt;&lt;lastName&gt;Dobosz&lt;/lastName&gt;&lt;/author&gt;&lt;author&gt;&lt;firstName&gt;Daniel&lt;/firstName&gt;&lt;middleNames&gt;H&lt;/middleNames&gt;&lt;lastName&gt;Janzen&lt;/lastName&gt;&lt;/author&gt;&lt;author&gt;&lt;firstName&gt;Winnie&lt;/firstName&gt;&lt;lastName&gt;Hallwachs&lt;/lastName&gt;&lt;/author&gt;&lt;author&gt;&lt;firstName&gt;G&lt;/firstName&gt;&lt;middleNames&gt;Brian&lt;/middleNames&gt;&lt;lastName&gt;Golding&lt;/lastName&gt;&lt;/author&gt;&lt;author&gt;&lt;firstName&gt;Mehrdad&lt;/firstName&gt;&lt;lastName&gt;Hajibabaei&lt;/lastName&gt;&lt;/author&gt;&lt;/authors&gt;&lt;/publication&gt;&lt;/publications&gt;&lt;cites&gt;&lt;/cites&gt;&lt;/citation&gt;</w:instrText>
      </w:r>
      <w:r w:rsidRPr="006861C7">
        <w:fldChar w:fldCharType="separate"/>
      </w:r>
      <w:r>
        <w:rPr>
          <w:rFonts w:eastAsia="SimSun"/>
          <w:szCs w:val="24"/>
          <w:lang w:val="de-DE"/>
        </w:rPr>
        <w:t>(Shokralla et al., 2015)</w:t>
      </w:r>
      <w:r w:rsidRPr="006861C7">
        <w:fldChar w:fldCharType="end"/>
      </w:r>
      <w:r w:rsidRPr="006861C7">
        <w:t xml:space="preserve"> may also lead to equally good amplification. However, a lack of degeneracy can lead to substantial bias in many of the other evaluated primers. These biases might not strongly affect PCR for DNA barcoding on single organisms, but they may substantially skew detection rates of complex multispecies bulk samples, in the worst case leading to taxa remaining undetected </w:t>
      </w:r>
      <w:r w:rsidRPr="006861C7">
        <w:fldChar w:fldCharType="begin"/>
      </w:r>
      <w:r>
        <w:instrText xml:space="preserve"> ADDIN PAPERS2_CITATIONS &lt;citation&gt;&lt;uuid&gt;2982CD6F-FB60-47E5-8A85-35BD6A46808F&lt;/uuid&gt;&lt;priority&gt;0&lt;/priority&gt;&lt;publications&gt;&lt;publication&gt;&lt;uuid&gt;E7AAF673-D769-4AC5-B0CA-5FB9948E2ACB&lt;/uuid&gt;&lt;doi&gt;10.1111/1755-0998.12355&lt;/doi&gt;&lt;accepted_date&gt;99201411211200000000222000&lt;/accepted_date&gt;&lt;startpage&gt;1&lt;/startpage&gt;&lt;revision_date&gt;99201411171200000000222000&lt;/revision_date&gt;&lt;publication_date&gt;99201412021200000000222000&lt;/publication_date&gt;&lt;url&gt;http://eutils.ncbi.nlm.nih.gov/entrez/eutils/elink.fcgi?dbfrom=pubmed&amp;amp;id=25454249&amp;amp;retmode=ref&amp;amp;cmd=prlinks&lt;/url&gt;&lt;citekey&gt;Pinol:2014fp&lt;/citekey&gt;&lt;type&gt;400&lt;/type&gt;&lt;title&gt;Universal and blocking primer mismatches limit the use of high-throughput DNA sequencing for the quantitative metabarcoding of arthropods.&lt;/title&gt;&lt;submission_date&gt;99201405131200000000222000&lt;/submission_date&gt;&lt;institution&gt;Universitat Autònoma Barcelona, Cerdanyola del Vallès, 08193, Spain; CREAF, Cerdanyola del Vallès, 08193, Spain.&lt;/institution&gt;&lt;subtype&gt;400&lt;/subtype&gt;&lt;endpage&gt;12&lt;/endpage&gt;&lt;bundle&gt;&lt;publication&gt;&lt;title&gt;Molecular ecology resources&lt;/title&gt;&lt;type&gt;-100&lt;/type&gt;&lt;subtype&gt;-100&lt;/subtype&gt;&lt;uuid&gt;7CE88982-FDCB-4CC7-8286-36DE0C8F5823&lt;/uuid&gt;&lt;/publication&gt;&lt;/bundle&gt;&lt;authors&gt;&lt;author&gt;&lt;firstName&gt;J&lt;/firstName&gt;&lt;lastName&gt;Piñol&lt;/lastName&gt;&lt;/author&gt;&lt;author&gt;&lt;firstName&gt;G&lt;/firstName&gt;&lt;lastName&gt;Mir&lt;/lastName&gt;&lt;/author&gt;&lt;author&gt;&lt;firstName&gt;P&lt;/firstName&gt;&lt;lastName&gt;Gomez-Polo&lt;/lastName&gt;&lt;/author&gt;&lt;author&gt;&lt;firstName&gt;N&lt;/firstName&gt;&lt;lastName&gt;Agustí&lt;/lastName&gt;&lt;/author&gt;&lt;/authors&gt;&lt;/publication&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Pr="006861C7">
        <w:fldChar w:fldCharType="separate"/>
      </w:r>
      <w:r>
        <w:rPr>
          <w:rFonts w:eastAsia="SimSun"/>
          <w:szCs w:val="24"/>
          <w:lang w:val="de-DE"/>
        </w:rPr>
        <w:t>(Elbrecht and Leese, 2015; Piñol et al., 2014)</w:t>
      </w:r>
      <w:r w:rsidRPr="006861C7">
        <w:fldChar w:fldCharType="end"/>
      </w:r>
      <w:r w:rsidRPr="006861C7">
        <w:t xml:space="preserve">. For example, the </w:t>
      </w:r>
      <w:proofErr w:type="spellStart"/>
      <w:r w:rsidRPr="006861C7">
        <w:t>mlCOIint</w:t>
      </w:r>
      <w:proofErr w:type="spellEnd"/>
      <w:r w:rsidRPr="006861C7">
        <w:t xml:space="preserve"> primers which have a maximum degeneracy of two nucleotides at each position </w:t>
      </w:r>
      <w:r w:rsidRPr="006861C7">
        <w:fldChar w:fldCharType="begin"/>
      </w:r>
      <w:r>
        <w:instrText xml:space="preserve"> ADDIN PAPERS2_CITATIONS &lt;citation&gt;&lt;uuid&gt;52A6D85C-B7B4-4358-B685-D632687F2C89&lt;/uuid&gt;&lt;priority&gt;0&lt;/priority&gt;&lt;publications&gt;&lt;publication&gt;&lt;uuid&gt;573D77BD-D407-4AE8-A0C2-A5B6C00B1F7A&lt;/uuid&gt;&lt;volume&gt;10&lt;/volume&gt;&lt;accepted_date&gt;99201305231200000000222000&lt;/accepted_date&gt;&lt;doi&gt;10.1186/1742-9994-10-34&lt;/doi&gt;&lt;startpage&gt;1&lt;/startpage&gt;&lt;publication_date&gt;99201306141200000000222000&lt;/publication_date&gt;&lt;url&gt;Frontiers in Zoology&lt;/url&gt;&lt;citekey&gt;Leray:2013fo&lt;/citekey&gt;&lt;type&gt;400&lt;/type&gt;&lt;title&gt;A new versatile primer set targeting a short fragment of the mitochondrial COI region for metabarcoding metazoan diversity: application for characterizing coral reef fish gut contents&lt;/title&gt;&lt;publisher&gt;Frontiers in Zoology&lt;/publisher&gt;&lt;submission_date&gt;99201303141200000000222000&lt;/submission_date&gt;&lt;number&gt;1&lt;/number&gt;&lt;institution&gt;Laboratoire d'Excellence "CORAIL", USR 3278 CRIOBE CNRS-EPHE, CBETM de l'Université de Perpignan, 66860, Perpignan Cedex, France ; Department of Invertebrate Zoology, National Museum of Natural History, Smithsonian Institution, P.O. Box 37012, MRC-163, Washington, DC 20013-7012, USA.&lt;/institution&gt;&lt;subtype&gt;400&lt;/subtype&gt;&lt;endpage&gt;1&lt;/endpage&gt;&lt;bundle&gt;&lt;publication&gt;&lt;publisher&gt;BioMed Central Ltd&lt;/publisher&gt;&lt;title&gt;Frontiers in zoology&lt;/title&gt;&lt;type&gt;-100&lt;/type&gt;&lt;subtype&gt;-100&lt;/subtype&gt;&lt;uuid&gt;45F0FBE0-ECB3-4617-A145-F7A7F3F920FF&lt;/uuid&gt;&lt;/publication&gt;&lt;/bundle&gt;&lt;authors&gt;&lt;author&gt;&lt;firstName&gt;Matthieu&lt;/firstName&gt;&lt;lastName&gt;Leray&lt;/lastName&gt;&lt;/author&gt;&lt;author&gt;&lt;firstName&gt;Joy&lt;/firstName&gt;&lt;middleNames&gt;Y&lt;/middleNames&gt;&lt;lastName&gt;Yang&lt;/lastName&gt;&lt;/author&gt;&lt;author&gt;&lt;firstName&gt;Christopher&lt;/firstName&gt;&lt;middleNames&gt;P&lt;/middleNames&gt;&lt;lastName&gt;Meyer&lt;/lastName&gt;&lt;/author&gt;&lt;author&gt;&lt;firstName&gt;Suzanne&lt;/firstName&gt;&lt;middleNames&gt;C&lt;/middleNames&gt;&lt;lastName&gt;Mills&lt;/lastName&gt;&lt;/author&gt;&lt;author&gt;&lt;firstName&gt;Natalia&lt;/firstName&gt;&lt;lastName&gt;Agudelo&lt;/lastName&gt;&lt;/author&gt;&lt;author&gt;&lt;firstName&gt;Vincent&lt;/firstName&gt;&lt;lastName&gt;Ranwez&lt;/lastName&gt;&lt;/author&gt;&lt;author&gt;&lt;firstName&gt;Joel&lt;/firstName&gt;&lt;middleNames&gt;T&lt;/middleNames&gt;&lt;lastName&gt;Boehm&lt;/lastName&gt;&lt;/author&gt;&lt;author&gt;&lt;firstName&gt;Ryuji&lt;/firstName&gt;&lt;middleNames&gt;J&lt;/middleNames&gt;&lt;lastName&gt;Machida&lt;/lastName&gt;&lt;/author&gt;&lt;/authors&gt;&lt;/publication&gt;&lt;/publications&gt;&lt;cites&gt;&lt;/cites&gt;&lt;/citation&gt;</w:instrText>
      </w:r>
      <w:r w:rsidRPr="006861C7">
        <w:fldChar w:fldCharType="separate"/>
      </w:r>
      <w:r>
        <w:rPr>
          <w:rFonts w:eastAsia="SimSun"/>
          <w:szCs w:val="24"/>
          <w:lang w:val="de-DE"/>
        </w:rPr>
        <w:t>(Leray et al., 2013)</w:t>
      </w:r>
      <w:r w:rsidRPr="006861C7">
        <w:fldChar w:fldCharType="end"/>
      </w:r>
      <w:r w:rsidRPr="006861C7">
        <w:t>,</w:t>
      </w:r>
      <w:r w:rsidRPr="006861C7">
        <w:rPr>
          <w:rFonts w:ascii="Verdana" w:hAnsi="Verdana"/>
          <w:b/>
          <w:bCs/>
          <w:color w:val="000000"/>
          <w:sz w:val="14"/>
          <w:szCs w:val="14"/>
          <w:lang w:eastAsia="de-DE"/>
        </w:rPr>
        <w:t xml:space="preserve"> </w:t>
      </w:r>
      <w:r w:rsidRPr="006861C7">
        <w:t xml:space="preserve">were previously tested with two mock communities and up to 35% of taxa remained undetected </w:t>
      </w:r>
      <w:r w:rsidRPr="006861C7">
        <w:fldChar w:fldCharType="begin"/>
      </w:r>
      <w:r>
        <w:instrText xml:space="preserve"> ADDIN PAPERS2_CITATIONS &lt;citation&gt;&lt;uuid&gt;69D34EC2-5DB0-46BF-9C6F-720984618A54&lt;/uuid&gt;&lt;priority&gt;0&lt;/priority&gt;&lt;publications&gt;&lt;publication&gt;&lt;publication_date&gt;99201502021200000000222000&lt;/publication_date&gt;&lt;startpage&gt;201424997&lt;/startpage&gt;&lt;doi&gt;10.1073/pnas.1424997112&lt;/doi&gt;&lt;title&gt;DNA barcoding and metabarcoding of standardized samples reveal patterns of marine benthic diversity&lt;/title&gt;&lt;uuid&gt;CB53D657-CB5F-469F-9433-71B55DD3FFC0&lt;/uuid&gt;&lt;subtype&gt;400&lt;/subtype&gt;&lt;endpage&gt;6&lt;/endpage&gt;&lt;type&gt;400&lt;/type&gt;&lt;citekey&gt;Leray:2015kt&lt;/citekey&gt;&lt;url&gt;http://www.pnas.org/lookup/doi/10.1073/pnas.1424997112&lt;/url&gt;&lt;bundle&gt;&lt;publication&gt;&lt;url&gt;http://www.pnas.org/&lt;/url&gt;&lt;title&gt;Proceedings of the National Academy of Sciences of the United States of America&lt;/title&gt;&lt;type&gt;-100&lt;/type&gt;&lt;subtype&gt;-100&lt;/subtype&gt;&lt;uuid&gt;3525D1B7-8765-4543-907C-C49C8444C327&lt;/uuid&gt;&lt;/publication&gt;&lt;/bundle&gt;&lt;authors&gt;&lt;author&gt;&lt;firstName&gt;Matthieu&lt;/firstName&gt;&lt;lastName&gt;Leray&lt;/lastName&gt;&lt;/author&gt;&lt;author&gt;&lt;firstName&gt;Nancy&lt;/firstName&gt;&lt;lastName&gt;Knowlton&lt;/lastName&gt;&lt;/author&gt;&lt;/authors&gt;&lt;/publication&gt;&lt;/publications&gt;&lt;cites&gt;&lt;/cites&gt;&lt;/citation&gt;</w:instrText>
      </w:r>
      <w:r w:rsidRPr="006861C7">
        <w:fldChar w:fldCharType="separate"/>
      </w:r>
      <w:r>
        <w:rPr>
          <w:rFonts w:eastAsia="SimSun"/>
          <w:szCs w:val="24"/>
          <w:lang w:val="de-DE"/>
        </w:rPr>
        <w:t>(Leray and Knowlton, 2015)</w:t>
      </w:r>
      <w:r w:rsidRPr="006861C7">
        <w:fldChar w:fldCharType="end"/>
      </w:r>
      <w:r w:rsidRPr="006861C7">
        <w:t xml:space="preserve">. Probably even more problematic are primers that lack base degeneracy. Despite primer bias associated with the high variation of the COI gene have been well documented </w:t>
      </w:r>
      <w:r w:rsidRPr="006861C7">
        <w:fldChar w:fldCharType="begin"/>
      </w:r>
      <w:r>
        <w:instrText xml:space="preserve"> ADDIN PAPERS2_CITATIONS &lt;citation&gt;&lt;uuid&gt;FCCAE9A5-E5A0-4A2D-9773-2D4C72A235F3&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uuid&gt;7ED7424C-B7D4-42FB-AFD7-5464C0B0C4D1&lt;/uuid&gt;&lt;volume&gt;14&lt;/volume&gt;&lt;doi&gt;10.1111/1755-0998.12265&lt;/doi&gt;&lt;startpage&gt;1160&lt;/startpage&gt;&lt;publication_date&gt;99201405141200000000222000&lt;/publication_date&gt;&lt;url&gt;http://doi.wiley.com/10.1111/1755-0998.12265&lt;/url&gt;&lt;citekey&gt;Clarke:2014bd&lt;/citekey&gt;&lt;type&gt;400&lt;/type&gt;&lt;title&gt;Environmental metabarcodes for insects: in silicoPCR reveals potential for taxonomic bias&lt;/title&gt;&lt;number&gt;6&lt;/number&gt;&lt;subtype&gt;400&lt;/subtype&gt;&lt;endpage&gt;1170&lt;/endpage&gt;&lt;bundle&gt;&lt;publication&gt;&lt;title&gt;Molecular ecology resources&lt;/title&gt;&lt;type&gt;-100&lt;/type&gt;&lt;subtype&gt;-100&lt;/subtype&gt;&lt;uuid&gt;7CE88982-FDCB-4CC7-8286-36DE0C8F5823&lt;/uuid&gt;&lt;/publication&gt;&lt;/bundle&gt;&lt;authors&gt;&lt;author&gt;&lt;firstName&gt;Laurence&lt;/firstName&gt;&lt;middleNames&gt;J&lt;/middleNames&gt;&lt;lastName&gt;Clarke&lt;/lastName&gt;&lt;/author&gt;&lt;author&gt;&lt;firstName&gt;Julien&lt;/firstName&gt;&lt;lastName&gt;Soubrier&lt;/lastName&gt;&lt;/author&gt;&lt;author&gt;&lt;firstName&gt;Laura&lt;/firstName&gt;&lt;middleNames&gt;S&lt;/middleNames&gt;&lt;lastName&gt;Weyrich&lt;/lastName&gt;&lt;/author&gt;&lt;author&gt;&lt;firstName&gt;Alan&lt;/firstName&gt;&lt;lastName&gt;Cooper&lt;/lastName&gt;&lt;/author&gt;&lt;/authors&gt;&lt;/publication&gt;&lt;publication&gt;&lt;uuid&gt;B5018827-4F94-4BD9-BF87-D6B167B8F74B&lt;/uuid&gt;&lt;volume&gt;10&lt;/volume&gt;&lt;doi&gt;10.1098/rsbl.2014.0562&lt;/doi&gt;&lt;startpage&gt;20140562&lt;/startpage&gt;&lt;publication_date&gt;99201409001200000000220000&lt;/publication_date&gt;&lt;url&gt;http://rsbl.royalsocietypublishing.org/cgi/doi/10.1098/rsbl.2014.0562&lt;/url&gt;&lt;citekey&gt;Deagle:2014eu&lt;/citekey&gt;&lt;type&gt;400&lt;/type&gt;&lt;title&gt;DNA metabarcoding and the cytochrome c oxidase subunit I marker: not a perfect match.&lt;/title&gt;&lt;publisher&gt;The Royal Society&lt;/publisher&gt;&lt;institution&gt;203, Channel Highway, Kingston, Tasmania, Australia bruce.deagle@aad.gov.au.&lt;/institution&gt;&lt;number&gt;9&lt;/number&gt;&lt;subtype&gt;400&lt;/subtype&gt;&lt;endpage&gt;20140562&lt;/endpage&gt;&lt;bundle&gt;&lt;publication&gt;&lt;title&gt;Biology Letters&lt;/title&gt;&lt;type&gt;-100&lt;/type&gt;&lt;subtype&gt;-100&lt;/subtype&gt;&lt;uuid&gt;31B113CA-E4EE-442C-ABBB-90F55AAB0A90&lt;/uuid&gt;&lt;/publication&gt;&lt;/bundle&gt;&lt;authors&gt;&lt;author&gt;&lt;firstName&gt;Bruce&lt;/firstName&gt;&lt;middleNames&gt;E&lt;/middleNames&gt;&lt;lastName&gt;Deagle&lt;/lastName&gt;&lt;/author&gt;&lt;author&gt;&lt;firstName&gt;Simon&lt;/firstName&gt;&lt;middleNames&gt;N&lt;/middleNames&gt;&lt;lastName&gt;Jarman&lt;/lastName&gt;&lt;/author&gt;&lt;author&gt;&lt;firstName&gt;Eric&lt;/firstName&gt;&lt;lastName&gt;Coissac&lt;/lastName&gt;&lt;/author&gt;&lt;author&gt;&lt;firstName&gt;François&lt;/firstName&gt;&lt;lastName&gt;Pompanon&lt;/lastName&gt;&lt;/author&gt;&lt;author&gt;&lt;firstName&gt;Pierre&lt;/firstName&gt;&lt;lastName&gt;Taberlet&lt;/lastName&gt;&lt;/author&gt;&lt;/authors&gt;&lt;/publication&gt;&lt;publication&gt;&lt;uuid&gt;62DB8CBB-4E6B-4561-B676-26678F7CC600&lt;/uuid&gt;&lt;volume&gt;55&lt;/volume&gt;&lt;accepted_date&gt;99201404251200000000222000&lt;/accepted_date&gt;&lt;doi&gt;10.1007/s13353-014-0218-9&lt;/doi&gt;&lt;startpage&gt;485&lt;/startpage&gt;&lt;revision_date&gt;99201404231200000000222000&lt;/revision_date&gt;&lt;publication_date&gt;99201411001200000000220000&lt;/publication_date&gt;&lt;url&gt;http://link.springer.com/10.1007/s13353-014-0218-9&lt;/url&gt;&lt;type&gt;400&lt;/type&gt;&lt;title&gt;Are "universal" DNA primers really universal?&lt;/title&gt;&lt;publisher&gt;Springer Berlin Heidelberg&lt;/publisher&gt;&lt;submission_date&gt;99201401131200000000222000&lt;/submission_date&gt;&lt;number&gt;4&lt;/number&gt;&lt;institution&gt;School of Earth and Environmental Sciences, University of Adelaide, Adelaide, Australia, pranay.sharma@adelaide.edu.au.&lt;/institution&gt;&lt;subtype&gt;400&lt;/subtype&gt;&lt;endpage&gt;496&lt;/endpage&gt;&lt;bundle&gt;&lt;publication&gt;&lt;title&gt;Journal of applied genetics&lt;/title&gt;&lt;type&gt;-100&lt;/type&gt;&lt;subtype&gt;-100&lt;/subtype&gt;&lt;uuid&gt;FA9566F2-744C-4D19-9C50-17B13449042C&lt;/uuid&gt;&lt;/publication&gt;&lt;/bundle&gt;&lt;authors&gt;&lt;author&gt;&lt;firstName&gt;Pranay&lt;/firstName&gt;&lt;lastName&gt;Sharma&lt;/lastName&gt;&lt;/author&gt;&lt;author&gt;&lt;firstName&gt;Tsuyoshi&lt;/firstName&gt;&lt;lastName&gt;Kobayashi&lt;/lastName&gt;&lt;/author&gt;&lt;/authors&gt;&lt;/publication&gt;&lt;publication&gt;&lt;uuid&gt;E7AAF673-D769-4AC5-B0CA-5FB9948E2ACB&lt;/uuid&gt;&lt;doi&gt;10.1111/1755-0998.12355&lt;/doi&gt;&lt;accepted_date&gt;99201411211200000000222000&lt;/accepted_date&gt;&lt;startpage&gt;1&lt;/startpage&gt;&lt;revision_date&gt;99201411171200000000222000&lt;/revision_date&gt;&lt;publication_date&gt;99201412021200000000222000&lt;/publication_date&gt;&lt;url&gt;http://eutils.ncbi.nlm.nih.gov/entrez/eutils/elink.fcgi?dbfrom=pubmed&amp;amp;id=25454249&amp;amp;retmode=ref&amp;amp;cmd=prlinks&lt;/url&gt;&lt;citekey&gt;Pinol:2014fp&lt;/citekey&gt;&lt;type&gt;400&lt;/type&gt;&lt;title&gt;Universal and blocking primer mismatches limit the use of high-throughput DNA sequencing for the quantitative metabarcoding of arthropods.&lt;/title&gt;&lt;submission_date&gt;99201405131200000000222000&lt;/submission_date&gt;&lt;institution&gt;Universitat Autònoma Barcelona, Cerdanyola del Vallès, 08193, Spain; CREAF, Cerdanyola del Vallès, 08193, Spain.&lt;/institution&gt;&lt;subtype&gt;400&lt;/subtype&gt;&lt;endpage&gt;12&lt;/endpage&gt;&lt;bundle&gt;&lt;publication&gt;&lt;title&gt;Molecular ecology resources&lt;/title&gt;&lt;type&gt;-100&lt;/type&gt;&lt;subtype&gt;-100&lt;/subtype&gt;&lt;uuid&gt;7CE88982-FDCB-4CC7-8286-36DE0C8F5823&lt;/uuid&gt;&lt;/publication&gt;&lt;/bundle&gt;&lt;authors&gt;&lt;author&gt;&lt;firstName&gt;J&lt;/firstName&gt;&lt;lastName&gt;Piñol&lt;/lastName&gt;&lt;/author&gt;&lt;author&gt;&lt;firstName&gt;G&lt;/firstName&gt;&lt;lastName&gt;Mir&lt;/lastName&gt;&lt;/author&gt;&lt;author&gt;&lt;firstName&gt;P&lt;/firstName&gt;&lt;lastName&gt;Gomez-Polo&lt;/lastName&gt;&lt;/author&gt;&lt;author&gt;&lt;firstName&gt;N&lt;/firstName&gt;&lt;lastName&gt;Agustí&lt;/lastName&gt;&lt;/author&gt;&lt;/authors&gt;&lt;/publication&gt;&lt;/publications&gt;&lt;cites&gt;&lt;/cites&gt;&lt;/citation&gt;</w:instrText>
      </w:r>
      <w:r w:rsidRPr="006861C7">
        <w:fldChar w:fldCharType="separate"/>
      </w:r>
      <w:r>
        <w:rPr>
          <w:rFonts w:eastAsia="SimSun"/>
          <w:szCs w:val="24"/>
          <w:lang w:val="de-DE"/>
        </w:rPr>
        <w:t>(Clarke et al., 2014; Deagle et al., 2014; Elbrecht and Leese, 2015; Piñol et al., 2014; Sharma and Kobayashi, 2014)</w:t>
      </w:r>
      <w:r w:rsidRPr="006861C7">
        <w:fldChar w:fldCharType="end"/>
      </w:r>
      <w:r w:rsidRPr="006861C7">
        <w:t xml:space="preserve">, primers without base degeneracy like ZBJ-Art by </w:t>
      </w:r>
      <w:r w:rsidRPr="006861C7">
        <w:fldChar w:fldCharType="begin"/>
      </w:r>
      <w:r>
        <w:instrText xml:space="preserve"> ADDIN PAPERS2_CITATIONS &lt;citation&gt;&lt;uuid&gt;8FB9B9E2-48BA-4C40-9EA1-9DA1F61D3D39&lt;/uuid&gt;&lt;priority&gt;0&lt;/priority&gt;&lt;publications&gt;&lt;publication&gt;&lt;uuid&gt;7A886D58-5994-4CE8-AB54-17E3985E5C4E&lt;/uuid&gt;&lt;volume&gt;11&lt;/volume&gt;&lt;doi&gt;10.1111/j.1755-0998.2010.02920.x&lt;/doi&gt;&lt;subtitle&gt;DNA BARCODING&lt;/subtitle&gt;&lt;startpage&gt;236&lt;/startpage&gt;&lt;publication_date&gt;99201009261200000000222000&lt;/publication_date&gt;&lt;url&gt;http://doi.wiley.com/10.1111/j.1755-0998.2010.02920.x&lt;/url&gt;&lt;citekey&gt;ZEALE:2010gx&lt;/citekey&gt;&lt;type&gt;400&lt;/type&gt;&lt;title&gt;Taxon-specific PCR for DNA barcoding arthropod prey in bat faeces&lt;/title&gt;&lt;publisher&gt;Blackwell Publishing Ltd&lt;/publisher&gt;&lt;number&gt;2&lt;/number&gt;&lt;subtype&gt;400&lt;/subtype&gt;&lt;endpage&gt;244&lt;/endpage&gt;&lt;bundle&gt;&lt;publication&gt;&lt;title&gt;Molecular ecology resources&lt;/title&gt;&lt;type&gt;-100&lt;/type&gt;&lt;subtype&gt;-100&lt;/subtype&gt;&lt;uuid&gt;7CE88982-FDCB-4CC7-8286-36DE0C8F5823&lt;/uuid&gt;&lt;/publication&gt;&lt;/bundle&gt;&lt;authors&gt;&lt;author&gt;&lt;firstName&gt;Matt&lt;/firstName&gt;&lt;middleNames&gt;R K&lt;/middleNames&gt;&lt;lastName&gt;Zeale&lt;/lastName&gt;&lt;/author&gt;&lt;author&gt;&lt;firstName&gt;Roger&lt;/firstName&gt;&lt;middleNames&gt;K&lt;/middleNames&gt;&lt;lastName&gt;Butlin&lt;/lastName&gt;&lt;/author&gt;&lt;author&gt;&lt;firstName&gt;Gary&lt;/firstName&gt;&lt;middleNames&gt;L A&lt;/middleNames&gt;&lt;lastName&gt;Barker&lt;/lastName&gt;&lt;/author&gt;&lt;author&gt;&lt;firstName&gt;David&lt;/firstName&gt;&lt;middleNames&gt;C&lt;/middleNames&gt;&lt;lastName&gt;Lees&lt;/lastName&gt;&lt;/author&gt;&lt;author&gt;&lt;firstName&gt;Gareth&lt;/firstName&gt;&lt;lastName&gt;Jones&lt;/lastName&gt;&lt;/author&gt;&lt;/authors&gt;&lt;/publication&gt;&lt;/publications&gt;&lt;cites&gt;&lt;/cites&gt;&lt;/citation&gt;</w:instrText>
      </w:r>
      <w:r w:rsidRPr="006861C7">
        <w:fldChar w:fldCharType="separate"/>
      </w:r>
      <w:r>
        <w:rPr>
          <w:rFonts w:eastAsia="SimSun"/>
          <w:szCs w:val="24"/>
          <w:lang w:val="de-DE"/>
        </w:rPr>
        <w:t>(Zeale et al., 2010)</w:t>
      </w:r>
      <w:r w:rsidRPr="006861C7">
        <w:fldChar w:fldCharType="end"/>
      </w:r>
      <w:r w:rsidRPr="006861C7">
        <w:t xml:space="preserve"> are widely used e.g. for gut content analysis (123 citations as of June 2016)</w:t>
      </w:r>
      <w:r>
        <w:t>.</w:t>
      </w:r>
    </w:p>
    <w:p w14:paraId="36A145BE" w14:textId="77777777" w:rsidR="00DB41E2" w:rsidRDefault="00DB41E2" w:rsidP="00DB41E2">
      <w:pPr>
        <w:pStyle w:val="KeinLeerraum"/>
      </w:pPr>
    </w:p>
    <w:p w14:paraId="63FD66A2" w14:textId="77777777" w:rsidR="00DB41E2" w:rsidRPr="006861C7" w:rsidRDefault="00DB41E2" w:rsidP="00DB41E2">
      <w:pPr>
        <w:pStyle w:val="KeinLeerraum"/>
      </w:pPr>
      <w:r>
        <w:t>Additionally we could reveal that several popular primers from the literature contain critical design flaws, possible introduced by accident (e.g. EPT-long-</w:t>
      </w:r>
      <w:proofErr w:type="spellStart"/>
      <w:r>
        <w:t>univR</w:t>
      </w:r>
      <w:proofErr w:type="spellEnd"/>
      <w:r>
        <w:t xml:space="preserve">, </w:t>
      </w:r>
      <w:proofErr w:type="spellStart"/>
      <w:r>
        <w:t>mlCOIintR</w:t>
      </w:r>
      <w:proofErr w:type="spellEnd"/>
      <w:r>
        <w:t xml:space="preserve">, </w:t>
      </w:r>
      <w:r w:rsidRPr="00354B8F">
        <w:t>Uni-MinibarF1</w:t>
      </w:r>
      <w:r>
        <w:t xml:space="preserve">). One has to keep in mind that a typo, or just one false base at the 3" end can make or break a primer. Additionally primers are often developed for o on a small set of taxa, and thus might not work well for the ecosystem, geographic region or groups you want to target. For example </w:t>
      </w:r>
      <w:r>
        <w:fldChar w:fldCharType="begin"/>
      </w:r>
      <w:r>
        <w:instrText xml:space="preserve"> ADDIN PAPERS2_CITATIONS &lt;citation&gt;&lt;uuid&gt;7C5E97F5-DBC0-4D39-8213-4293E2167A99&lt;/uuid&gt;&lt;priority&gt;0&lt;/priority&gt;&lt;publications&gt;&lt;publication&gt;&lt;uuid&gt;7ED7424C-B7D4-42FB-AFD7-5464C0B0C4D1&lt;/uuid&gt;&lt;volume&gt;14&lt;/volume&gt;&lt;doi&gt;10.1111/1755-0998.12265&lt;/doi&gt;&lt;startpage&gt;1160&lt;/startpage&gt;&lt;publication_date&gt;99201405141200000000222000&lt;/publication_date&gt;&lt;url&gt;http://doi.wiley.com/10.1111/1755-0998.12265&lt;/url&gt;&lt;citekey&gt;Clarke:2014bd&lt;/citekey&gt;&lt;type&gt;400&lt;/type&gt;&lt;title&gt;Environmental metabarcodes for insects: in silicoPCR reveals potential for taxonomic bias&lt;/title&gt;&lt;number&gt;6&lt;/number&gt;&lt;subtype&gt;400&lt;/subtype&gt;&lt;endpage&gt;1170&lt;/endpage&gt;&lt;bundle&gt;&lt;publication&gt;&lt;title&gt;Molecular ecology resources&lt;/title&gt;&lt;type&gt;-100&lt;/type&gt;&lt;subtype&gt;-100&lt;/subtype&gt;&lt;uuid&gt;7CE88982-FDCB-4CC7-8286-36DE0C8F5823&lt;/uuid&gt;&lt;/publication&gt;&lt;/bundle&gt;&lt;authors&gt;&lt;author&gt;&lt;firstName&gt;Laurence&lt;/firstName&gt;&lt;middleNames&gt;J&lt;/middleNames&gt;&lt;lastName&gt;Clarke&lt;/lastName&gt;&lt;/author&gt;&lt;author&gt;&lt;firstName&gt;Julien&lt;/firstName&gt;&lt;lastName&gt;Soubrier&lt;/lastName&gt;&lt;/author&gt;&lt;author&gt;&lt;firstName&gt;Laura&lt;/firstName&gt;&lt;middleNames&gt;S&lt;/middleNames&gt;&lt;lastName&gt;Weyrich&lt;/lastName&gt;&lt;/author&gt;&lt;author&gt;&lt;firstName&gt;Alan&lt;/firstName&gt;&lt;lastName&gt;Cooper&lt;/lastName&gt;&lt;/author&gt;&lt;/authors&gt;&lt;/publication&gt;&lt;/publications&gt;&lt;cites&gt;&lt;/cites&gt;&lt;/citation&gt;</w:instrText>
      </w:r>
      <w:r>
        <w:fldChar w:fldCharType="separate"/>
      </w:r>
      <w:r>
        <w:rPr>
          <w:rFonts w:eastAsia="SimSun"/>
          <w:szCs w:val="24"/>
          <w:lang w:val="de-DE"/>
        </w:rPr>
        <w:t>(Clarke et al., 2014)</w:t>
      </w:r>
      <w:r>
        <w:fldChar w:fldCharType="end"/>
      </w:r>
      <w:r>
        <w:t xml:space="preserve"> evaluated the </w:t>
      </w:r>
      <w:r w:rsidRPr="0064360D">
        <w:t xml:space="preserve">L499+H2123d </w:t>
      </w:r>
      <w:r>
        <w:t xml:space="preserve">as a </w:t>
      </w:r>
      <w:proofErr w:type="spellStart"/>
      <w:r>
        <w:t>metarcoding</w:t>
      </w:r>
      <w:proofErr w:type="spellEnd"/>
      <w:r>
        <w:t xml:space="preserve"> primer, but It was originally only developed to target </w:t>
      </w:r>
      <w:proofErr w:type="spellStart"/>
      <w:r w:rsidRPr="0064360D">
        <w:t>Tephritid</w:t>
      </w:r>
      <w:proofErr w:type="spellEnd"/>
      <w:r w:rsidRPr="0064360D">
        <w:t xml:space="preserve"> fruit flies</w:t>
      </w:r>
      <w:r>
        <w:t xml:space="preserve">, and probably never intended to be used beyond this </w:t>
      </w:r>
      <w:proofErr w:type="spellStart"/>
      <w:r>
        <w:t>Diptera</w:t>
      </w:r>
      <w:proofErr w:type="spellEnd"/>
      <w:r>
        <w:t xml:space="preserve"> Family </w:t>
      </w:r>
      <w:r>
        <w:fldChar w:fldCharType="begin"/>
      </w:r>
      <w:r>
        <w:instrText xml:space="preserve"> ADDIN PAPERS2_CITATIONS &lt;citation&gt;&lt;uuid&gt;F09DF8FC-4304-4BAD-BC99-D66D6480BF6C&lt;/uuid&gt;&lt;priority&gt;0&lt;/priority&gt;&lt;publications&gt;&lt;publication&gt;&lt;uuid&gt;8B326474-ACBD-4F62-8A93-4C35467D8529&lt;/uuid&gt;&lt;volume&gt;10&lt;/volume&gt;&lt;doi&gt;10.1111/j.1755-0998.2009.02800.x&lt;/doi&gt;&lt;startpage&gt;459&lt;/startpage&gt;&lt;publication_date&gt;99201005001200000000220000&lt;/publication_date&gt;&lt;url&gt;http://doi.wiley.com/10.1111/j.1755-0998.2009.02800.x&lt;/url&gt;&lt;citekey&gt;vanHOUDT:2010iv&lt;/citekey&gt;&lt;type&gt;400&lt;/type&gt;&lt;title&gt;Recovering full DNA barcodes from natural history collections of Tephritid fruitflies (Tephritidae, Diptera) using mini barcodes&lt;/title&gt;&lt;publisher&gt;Blackwell Publishing Ltd&lt;/publisher&gt;&lt;number&gt;3&lt;/number&gt;&lt;subtype&gt;400&lt;/subtype&gt;&lt;endpage&gt;465&lt;/endpage&gt;&lt;bundle&gt;&lt;publication&gt;&lt;title&gt;Molecular ecology resources&lt;/title&gt;&lt;type&gt;-100&lt;/type&gt;&lt;subtype&gt;-100&lt;/subtype&gt;&lt;uuid&gt;7CE88982-FDCB-4CC7-8286-36DE0C8F5823&lt;/uuid&gt;&lt;/publication&gt;&lt;/bundle&gt;&lt;authors&gt;&lt;author&gt;&lt;lastName&gt;Houdt&lt;/lastName&gt;&lt;nonDroppingParticle&gt;Van&lt;/nonDroppingParticle&gt;&lt;firstName&gt;J&lt;/firstName&gt;&lt;middleNames&gt;K J&lt;/middleNames&gt;&lt;/author&gt;&lt;author&gt;&lt;firstName&gt;F&lt;/firstName&gt;&lt;middleNames&gt;C&lt;/middleNames&gt;&lt;lastName&gt;Breman&lt;/lastName&gt;&lt;/author&gt;&lt;author&gt;&lt;firstName&gt;M&lt;/firstName&gt;&lt;lastName&gt;Virgilio&lt;/lastName&gt;&lt;/author&gt;&lt;author&gt;&lt;nonDroppingParticle&gt;De&lt;/nonDroppingParticle&gt;&lt;firstName&gt;M&lt;/firstName&gt;&lt;lastName&gt;Meyer&lt;/lastName&gt;&lt;/author&gt;&lt;/authors&gt;&lt;/publication&gt;&lt;/publications&gt;&lt;cites&gt;&lt;/cites&gt;&lt;/citation&gt;</w:instrText>
      </w:r>
      <w:r>
        <w:fldChar w:fldCharType="separate"/>
      </w:r>
      <w:r>
        <w:rPr>
          <w:rFonts w:eastAsia="SimSun"/>
          <w:szCs w:val="24"/>
          <w:lang w:val="de-DE"/>
        </w:rPr>
        <w:t>(Van Houdt et al., 2010)</w:t>
      </w:r>
      <w:r>
        <w:fldChar w:fldCharType="end"/>
      </w:r>
      <w:r>
        <w:t xml:space="preserve">. </w:t>
      </w:r>
      <w:r w:rsidRPr="006861C7">
        <w:t xml:space="preserve">Thus careful </w:t>
      </w:r>
      <w:r w:rsidRPr="000C32BE">
        <w:rPr>
          <w:i/>
        </w:rPr>
        <w:t xml:space="preserve">in </w:t>
      </w:r>
      <w:proofErr w:type="spellStart"/>
      <w:r w:rsidRPr="000C32BE">
        <w:rPr>
          <w:i/>
        </w:rPr>
        <w:t>silico</w:t>
      </w:r>
      <w:proofErr w:type="spellEnd"/>
      <w:r>
        <w:t xml:space="preserve"> </w:t>
      </w:r>
      <w:r w:rsidRPr="006861C7">
        <w:t xml:space="preserve">evaluation </w:t>
      </w:r>
      <w:r>
        <w:t xml:space="preserve">and mock community testing </w:t>
      </w:r>
      <w:r w:rsidRPr="006861C7">
        <w:t xml:space="preserve">of newly developed primers or primers from the literature against the specific groups of interest is crucial for </w:t>
      </w:r>
      <w:proofErr w:type="spellStart"/>
      <w:r w:rsidRPr="006861C7">
        <w:t>metabarcoding</w:t>
      </w:r>
      <w:proofErr w:type="spellEnd"/>
      <w:r w:rsidRPr="006861C7">
        <w:t xml:space="preserve"> projects</w:t>
      </w:r>
      <w:r>
        <w:t xml:space="preserve">. We highly recommend evaluation primers not only </w:t>
      </w:r>
      <w:r w:rsidRPr="00157FA3">
        <w:rPr>
          <w:i/>
        </w:rPr>
        <w:t xml:space="preserve">in </w:t>
      </w:r>
      <w:proofErr w:type="spellStart"/>
      <w:r w:rsidRPr="00157FA3">
        <w:rPr>
          <w:i/>
        </w:rPr>
        <w:t>silico</w:t>
      </w:r>
      <w:proofErr w:type="spellEnd"/>
      <w:r>
        <w:t xml:space="preserve"> but also using mock communities of known composition, to validate the primers work well for the targeted groups and purpose. Unfortunately, resources are limited, and </w:t>
      </w:r>
      <w:proofErr w:type="spellStart"/>
      <w:r>
        <w:t>metabarcoding</w:t>
      </w:r>
      <w:proofErr w:type="spellEnd"/>
      <w:r>
        <w:t xml:space="preserve"> primers gent not always tested and validated before being used in larger scale ecological or monitoring studies.</w:t>
      </w:r>
    </w:p>
    <w:p w14:paraId="0B57422D" w14:textId="77777777" w:rsidR="00DB41E2" w:rsidRPr="006861C7" w:rsidRDefault="00DB41E2" w:rsidP="00DB41E2"/>
    <w:p w14:paraId="2D926C59" w14:textId="77777777" w:rsidR="00DB41E2" w:rsidRPr="006861C7" w:rsidRDefault="00DB41E2" w:rsidP="00DB41E2">
      <w:pPr>
        <w:pStyle w:val="berschrift2"/>
      </w:pPr>
      <w:r w:rsidRPr="006861C7">
        <w:t xml:space="preserve">Recommended approaches for </w:t>
      </w:r>
      <w:r>
        <w:t>freshwater</w:t>
      </w:r>
      <w:r w:rsidRPr="006861C7">
        <w:t xml:space="preserve"> </w:t>
      </w:r>
      <w:r>
        <w:t>bio-assessment</w:t>
      </w:r>
      <w:r w:rsidRPr="006861C7">
        <w:t xml:space="preserve"> </w:t>
      </w:r>
      <w:r>
        <w:t xml:space="preserve">using </w:t>
      </w:r>
      <w:proofErr w:type="spellStart"/>
      <w:r>
        <w:t>macroinvertebrates</w:t>
      </w:r>
      <w:proofErr w:type="spellEnd"/>
    </w:p>
    <w:p w14:paraId="65536E6B" w14:textId="77777777" w:rsidR="00DB41E2" w:rsidRPr="006861C7" w:rsidRDefault="00DB41E2" w:rsidP="00DB41E2">
      <w:pPr>
        <w:pStyle w:val="KeinLeerraum"/>
      </w:pPr>
      <w:r w:rsidRPr="006861C7">
        <w:t xml:space="preserve">The success of DNA </w:t>
      </w:r>
      <w:proofErr w:type="spellStart"/>
      <w:r w:rsidRPr="006861C7">
        <w:t>metabarcoding</w:t>
      </w:r>
      <w:proofErr w:type="spellEnd"/>
      <w:r w:rsidRPr="006861C7">
        <w:t xml:space="preserve"> </w:t>
      </w:r>
      <w:r>
        <w:t>for bio-assessment and EIA of freshwater ecosystems</w:t>
      </w:r>
      <w:r w:rsidRPr="006861C7">
        <w:t xml:space="preserve"> depends on well-designed primers</w:t>
      </w:r>
      <w:r>
        <w:t xml:space="preserve"> that reliably</w:t>
      </w:r>
      <w:r w:rsidRPr="006861C7">
        <w:t xml:space="preserve"> amplify the target communities. </w:t>
      </w:r>
      <w:r>
        <w:t xml:space="preserve">The more conserved primer </w:t>
      </w:r>
      <w:r>
        <w:lastRenderedPageBreak/>
        <w:t xml:space="preserve">binding regions, the greater the amplification efficiency </w:t>
      </w:r>
      <w:r>
        <w:fldChar w:fldCharType="begin"/>
      </w:r>
      <w:r>
        <w:instrText xml:space="preserve"> ADDIN PAPERS2_CITATIONS &lt;citation&gt;&lt;uuid&gt;05523A10-DCBE-4676-A194-12CD7A317581&lt;/uuid&gt;&lt;priority&gt;0&lt;/priority&gt;&lt;publications&gt;&lt;publication&gt;&lt;uuid&gt;B5018827-4F94-4BD9-BF87-D6B167B8F74B&lt;/uuid&gt;&lt;volume&gt;10&lt;/volume&gt;&lt;doi&gt;10.1098/rsbl.2014.0562&lt;/doi&gt;&lt;startpage&gt;20140562&lt;/startpage&gt;&lt;publication_date&gt;99201409001200000000220000&lt;/publication_date&gt;&lt;url&gt;http://rsbl.royalsocietypublishing.org/cgi/doi/10.1098/rsbl.2014.0562&lt;/url&gt;&lt;citekey&gt;Deagle:2014eu&lt;/citekey&gt;&lt;type&gt;400&lt;/type&gt;&lt;title&gt;DNA metabarcoding and the cytochrome c oxidase subunit I marker: not a perfect match.&lt;/title&gt;&lt;publisher&gt;The Royal Society&lt;/publisher&gt;&lt;institution&gt;203, Channel Highway, Kingston, Tasmania, Australia bruce.deagle@aad.gov.au.&lt;/institution&gt;&lt;number&gt;9&lt;/number&gt;&lt;subtype&gt;400&lt;/subtype&gt;&lt;endpage&gt;20140562&lt;/endpage&gt;&lt;bundle&gt;&lt;publication&gt;&lt;title&gt;Biology Letters&lt;/title&gt;&lt;type&gt;-100&lt;/type&gt;&lt;subtype&gt;-100&lt;/subtype&gt;&lt;uuid&gt;31B113CA-E4EE-442C-ABBB-90F55AAB0A90&lt;/uuid&gt;&lt;/publication&gt;&lt;/bundle&gt;&lt;authors&gt;&lt;author&gt;&lt;firstName&gt;Bruce&lt;/firstName&gt;&lt;middleNames&gt;E&lt;/middleNames&gt;&lt;lastName&gt;Deagle&lt;/lastName&gt;&lt;/author&gt;&lt;author&gt;&lt;firstName&gt;Simon&lt;/firstName&gt;&lt;middleNames&gt;N&lt;/middleNames&gt;&lt;lastName&gt;Jarman&lt;/lastName&gt;&lt;/author&gt;&lt;author&gt;&lt;firstName&gt;Eric&lt;/firstName&gt;&lt;lastName&gt;Coissac&lt;/lastName&gt;&lt;/author&gt;&lt;author&gt;&lt;firstName&gt;François&lt;/firstName&gt;&lt;lastName&gt;Pompanon&lt;/lastName&gt;&lt;/author&gt;&lt;author&gt;&lt;firstName&gt;Pierre&lt;/firstName&gt;&lt;lastName&gt;Taberlet&lt;/lastName&gt;&lt;/author&gt;&lt;/authors&gt;&lt;/publication&gt;&lt;/publications&gt;&lt;cites&gt;&lt;/cites&gt;&lt;/citation&gt;</w:instrText>
      </w:r>
      <w:r>
        <w:fldChar w:fldCharType="separate"/>
      </w:r>
      <w:r>
        <w:rPr>
          <w:rFonts w:eastAsia="SimSun"/>
          <w:szCs w:val="24"/>
          <w:lang w:val="de-DE"/>
        </w:rPr>
        <w:t>(Deagle et al., 2014)</w:t>
      </w:r>
      <w:r>
        <w:fldChar w:fldCharType="end"/>
      </w:r>
      <w:r>
        <w:t>. Therefore,</w:t>
      </w:r>
      <w:r w:rsidRPr="006861C7">
        <w:t xml:space="preserve"> 18</w:t>
      </w:r>
      <w:r>
        <w:t>S</w:t>
      </w:r>
      <w:r w:rsidRPr="006861C7">
        <w:t xml:space="preserve"> and 16S</w:t>
      </w:r>
      <w:r>
        <w:t xml:space="preserve"> ribosomal</w:t>
      </w:r>
      <w:r w:rsidRPr="006861C7">
        <w:t xml:space="preserve"> markers have been proposed as suitable alternative</w:t>
      </w:r>
      <w:r>
        <w:t xml:space="preserve"> markers to the COI gene</w:t>
      </w:r>
      <w:r w:rsidRPr="006861C7">
        <w:t>, despite lacking comprehensive reference databases</w:t>
      </w:r>
      <w:r>
        <w:t xml:space="preserve"> for animal taxa</w:t>
      </w:r>
      <w:r w:rsidRPr="006861C7">
        <w:t xml:space="preserve"> </w:t>
      </w:r>
      <w:r w:rsidRPr="006861C7">
        <w:fldChar w:fldCharType="begin"/>
      </w:r>
      <w:r>
        <w:instrText xml:space="preserve"> ADDIN PAPERS2_CITATIONS &lt;citation&gt;&lt;uuid&gt;FD657F3A-1AF2-448A-B476-F16F267E1A12&lt;/uuid&gt;&lt;priority&gt;0&lt;/priority&gt;&lt;publications&gt;&lt;publication&gt;&lt;uuid&gt;B5018827-4F94-4BD9-BF87-D6B167B8F74B&lt;/uuid&gt;&lt;volume&gt;10&lt;/volume&gt;&lt;doi&gt;10.1098/rsbl.2014.0562&lt;/doi&gt;&lt;startpage&gt;20140562&lt;/startpage&gt;&lt;publication_date&gt;99201409001200000000220000&lt;/publication_date&gt;&lt;url&gt;http://rsbl.royalsocietypublishing.org/cgi/doi/10.1098/rsbl.2014.0562&lt;/url&gt;&lt;citekey&gt;Deagle:2014eu&lt;/citekey&gt;&lt;type&gt;400&lt;/type&gt;&lt;title&gt;DNA metabarcoding and the cytochrome c oxidase subunit I marker: not a perfect match.&lt;/title&gt;&lt;publisher&gt;The Royal Society&lt;/publisher&gt;&lt;institution&gt;203, Channel Highway, Kingston, Tasmania, Australia bruce.deagle@aad.gov.au.&lt;/institution&gt;&lt;number&gt;9&lt;/number&gt;&lt;subtype&gt;400&lt;/subtype&gt;&lt;endpage&gt;20140562&lt;/endpage&gt;&lt;bundle&gt;&lt;publication&gt;&lt;title&gt;Biology Letters&lt;/title&gt;&lt;type&gt;-100&lt;/type&gt;&lt;subtype&gt;-100&lt;/subtype&gt;&lt;uuid&gt;31B113CA-E4EE-442C-ABBB-90F55AAB0A90&lt;/uuid&gt;&lt;/publication&gt;&lt;/bundle&gt;&lt;authors&gt;&lt;author&gt;&lt;firstName&gt;Bruce&lt;/firstName&gt;&lt;middleNames&gt;E&lt;/middleNames&gt;&lt;lastName&gt;Deagle&lt;/lastName&gt;&lt;/author&gt;&lt;author&gt;&lt;firstName&gt;Simon&lt;/firstName&gt;&lt;middleNames&gt;N&lt;/middleNames&gt;&lt;lastName&gt;Jarman&lt;/lastName&gt;&lt;/author&gt;&lt;author&gt;&lt;firstName&gt;Eric&lt;/firstName&gt;&lt;lastName&gt;Coissac&lt;/lastName&gt;&lt;/author&gt;&lt;author&gt;&lt;firstName&gt;François&lt;/firstName&gt;&lt;lastName&gt;Pompanon&lt;/lastName&gt;&lt;/author&gt;&lt;author&gt;&lt;firstName&gt;Pierre&lt;/firstName&gt;&lt;lastName&gt;Taberlet&lt;/lastName&gt;&lt;/author&gt;&lt;/authors&gt;&lt;/publication&gt;&lt;publication&gt;&lt;uuid&gt;7ED7424C-B7D4-42FB-AFD7-5464C0B0C4D1&lt;/uuid&gt;&lt;volume&gt;14&lt;/volume&gt;&lt;doi&gt;10.1111/1755-0998.12265&lt;/doi&gt;&lt;startpage&gt;1160&lt;/startpage&gt;&lt;publication_date&gt;99201405141200000000222000&lt;/publication_date&gt;&lt;url&gt;http://doi.wiley.com/10.1111/1755-0998.12265&lt;/url&gt;&lt;citekey&gt;Clarke:2014bd&lt;/citekey&gt;&lt;type&gt;400&lt;/type&gt;&lt;title&gt;Environmental metabarcodes for insects: in silicoPCR reveals potential for taxonomic bias&lt;/title&gt;&lt;number&gt;6&lt;/number&gt;&lt;subtype&gt;400&lt;/subtype&gt;&lt;endpage&gt;1170&lt;/endpage&gt;&lt;bundle&gt;&lt;publication&gt;&lt;title&gt;Molecular ecology resources&lt;/title&gt;&lt;type&gt;-100&lt;/type&gt;&lt;subtype&gt;-100&lt;/subtype&gt;&lt;uuid&gt;7CE88982-FDCB-4CC7-8286-36DE0C8F5823&lt;/uuid&gt;&lt;/publication&gt;&lt;/bundle&gt;&lt;authors&gt;&lt;author&gt;&lt;firstName&gt;Laurence&lt;/firstName&gt;&lt;middleNames&gt;J&lt;/middleNames&gt;&lt;lastName&gt;Clarke&lt;/lastName&gt;&lt;/author&gt;&lt;author&gt;&lt;firstName&gt;Julien&lt;/firstName&gt;&lt;lastName&gt;Soubrier&lt;/lastName&gt;&lt;/author&gt;&lt;author&gt;&lt;firstName&gt;Laura&lt;/firstName&gt;&lt;middleNames&gt;S&lt;/middleNames&gt;&lt;lastName&gt;Weyrich&lt;/lastName&gt;&lt;/author&gt;&lt;author&gt;&lt;firstName&gt;Alan&lt;/firstName&gt;&lt;lastName&gt;Cooper&lt;/lastName&gt;&lt;/author&gt;&lt;/authors&gt;&lt;/publication&gt;&lt;publication&gt;&lt;uuid&gt;D0DC0C18-B72D-4F3C-8354-44EC702E46B7&lt;/uuid&gt;&lt;volume&gt;4&lt;/volume&gt;&lt;doi&gt;10.7717/peerj.1966&lt;/doi&gt;&lt;startpage&gt;e1966&lt;/startpage&gt;&lt;publication_date&gt;99201600001200000000200000&lt;/publication_date&gt;&lt;url&gt;https://peerj.com/articles/1966&lt;/url&gt;&lt;type&gt;400&lt;/type&gt;&lt;title&gt;Testing the potential of a ribosomal 16S marker for DNA metabarcoding of insects&lt;/title&gt;&lt;publisher&gt;PeerJ Inc.&lt;/publisher&gt;&lt;number&gt;4&lt;/number&gt;&lt;subtype&gt;400&lt;/subtype&gt;&lt;endpage&gt;12&lt;/endpage&gt;&lt;bundle&gt;&lt;publication&gt;&lt;title&gt;PeerJ&lt;/title&gt;&lt;type&gt;-100&lt;/type&gt;&lt;subtype&gt;-100&lt;/subtype&gt;&lt;uuid&gt;5EBA4B9F-B369-4753-B381-FDCC83951E9F&lt;/uuid&gt;&lt;/publication&gt;&lt;/bundle&gt;&lt;authors&gt;&lt;author&gt;&lt;firstName&gt;Vasco&lt;/firstName&gt;&lt;lastName&gt;Elbrecht&lt;/lastName&gt;&lt;/author&gt;&lt;author&gt;&lt;firstName&gt;Pierre&lt;/firstName&gt;&lt;lastName&gt;Taberlet&lt;/lastName&gt;&lt;/author&gt;&lt;author&gt;&lt;firstName&gt;Tony&lt;/firstName&gt;&lt;lastName&gt;Dejean&lt;/lastName&gt;&lt;/author&gt;&lt;author&gt;&lt;firstName&gt;Alice&lt;/firstName&gt;&lt;lastName&gt;Valentini&lt;/lastName&gt;&lt;/author&gt;&lt;author&gt;&lt;firstName&gt;Philippe&lt;/firstName&gt;&lt;lastName&gt;Usseglio-Polatera&lt;/lastName&gt;&lt;/author&gt;&lt;author&gt;&lt;firstName&gt;Jean-Nicolas&lt;/firstName&gt;&lt;lastName&gt;Beisel&lt;/lastName&gt;&lt;/author&gt;&lt;author&gt;&lt;firstName&gt;Eric&lt;/firstName&gt;&lt;lastName&gt;Coissac&lt;/lastName&gt;&lt;/author&gt;&lt;author&gt;&lt;firstName&gt;Frederic&lt;/firstName&gt;&lt;lastName&gt;Boyer&lt;/lastName&gt;&lt;/author&gt;&lt;author&gt;&lt;firstName&gt;Florian&lt;/firstName&gt;&lt;lastName&gt;Leese&lt;/lastName&gt;&lt;/author&gt;&lt;/authors&gt;&lt;/publication&gt;&lt;/publications&gt;&lt;cites&gt;&lt;/cites&gt;&lt;/citation&gt;</w:instrText>
      </w:r>
      <w:r w:rsidRPr="006861C7">
        <w:fldChar w:fldCharType="separate"/>
      </w:r>
      <w:r>
        <w:rPr>
          <w:rFonts w:eastAsia="SimSun"/>
          <w:szCs w:val="24"/>
          <w:lang w:val="de-DE"/>
        </w:rPr>
        <w:t>(Clarke et al., 2014; Deagle et al., 2014; Elbrecht et al., 2016)</w:t>
      </w:r>
      <w:r w:rsidRPr="006861C7">
        <w:fldChar w:fldCharType="end"/>
      </w:r>
      <w:r w:rsidRPr="006861C7">
        <w:t xml:space="preserve">. </w:t>
      </w:r>
      <w:r>
        <w:t xml:space="preserve">However, </w:t>
      </w:r>
      <w:r w:rsidRPr="006861C7">
        <w:t xml:space="preserve">the </w:t>
      </w:r>
      <w:r w:rsidRPr="006861C7">
        <w:rPr>
          <w:i/>
        </w:rPr>
        <w:t xml:space="preserve">in </w:t>
      </w:r>
      <w:proofErr w:type="spellStart"/>
      <w:r w:rsidRPr="006861C7">
        <w:rPr>
          <w:i/>
        </w:rPr>
        <w:t>silico</w:t>
      </w:r>
      <w:proofErr w:type="spellEnd"/>
      <w:r w:rsidRPr="006861C7">
        <w:t xml:space="preserve"> evaluations and </w:t>
      </w:r>
      <w:r>
        <w:t>documented good</w:t>
      </w:r>
      <w:r w:rsidRPr="006861C7">
        <w:t xml:space="preserve"> </w:t>
      </w:r>
      <w:r>
        <w:t>performance of the BF2+BR1 and BF2+</w:t>
      </w:r>
      <w:r w:rsidRPr="006861C7">
        <w:t xml:space="preserve">BR2 primer sets </w:t>
      </w:r>
      <w:r>
        <w:t xml:space="preserve">of the COI gene shown in this study suggest clearly </w:t>
      </w:r>
      <w:r w:rsidRPr="006861C7">
        <w:t xml:space="preserve">that ribosomal markers are not necessary for reliable DNA </w:t>
      </w:r>
      <w:proofErr w:type="spellStart"/>
      <w:r w:rsidRPr="006861C7">
        <w:t>metabarcoding</w:t>
      </w:r>
      <w:proofErr w:type="spellEnd"/>
      <w:r w:rsidRPr="006861C7">
        <w:t xml:space="preserve"> on animal species. </w:t>
      </w:r>
      <w:r>
        <w:t>The COI marker can lead to equally good results, but already has large reference databases available for animals. Thus we strongly encourage to focus efforts developing optimized ecosystem or community-specific COI primers.</w:t>
      </w:r>
    </w:p>
    <w:p w14:paraId="4CBFE1C7" w14:textId="77777777" w:rsidR="00DB41E2" w:rsidRDefault="00DB41E2" w:rsidP="00DB41E2">
      <w:pPr>
        <w:pStyle w:val="KeinLeerraum"/>
      </w:pPr>
      <w:r w:rsidRPr="006861C7">
        <w:t xml:space="preserve">When using DNA </w:t>
      </w:r>
      <w:proofErr w:type="spellStart"/>
      <w:r w:rsidRPr="006861C7">
        <w:t>metabarcoding</w:t>
      </w:r>
      <w:proofErr w:type="spellEnd"/>
      <w:r w:rsidRPr="006861C7">
        <w:t xml:space="preserve"> approaches for </w:t>
      </w:r>
      <w:r>
        <w:t>bio-</w:t>
      </w:r>
      <w:r w:rsidRPr="006861C7">
        <w:t>assessment, protocols from the literature should be critically evaluated</w:t>
      </w:r>
      <w:r>
        <w:t xml:space="preserve"> as success may be flawed by unsuitable primer design</w:t>
      </w:r>
      <w:r w:rsidRPr="006861C7">
        <w:t>. Additionally</w:t>
      </w:r>
      <w:r>
        <w:t>,</w:t>
      </w:r>
      <w:r w:rsidRPr="006861C7">
        <w:t xml:space="preserve"> we recommend to include </w:t>
      </w:r>
      <w:r>
        <w:t>replicates</w:t>
      </w:r>
      <w:r w:rsidRPr="006861C7">
        <w:t xml:space="preserve"> to reduce the chance of tag switching and exclude false OTUs from the dataset </w:t>
      </w:r>
      <w:r w:rsidRPr="006861C7">
        <w:fldChar w:fldCharType="begin"/>
      </w:r>
      <w:r>
        <w:instrText xml:space="preserve"> ADDIN PAPERS2_CITATIONS &lt;citation&gt;&lt;uuid&gt;C28A1909-BA57-498C-80D1-77913A110AF1&lt;/uuid&gt;&lt;priority&gt;0&lt;/priority&gt;&lt;publications&gt;&lt;publication&gt;&lt;uuid&gt;E09D7D9C-EFBB-476E-A084-BD0BE30B4372&lt;/uuid&gt;&lt;volume&gt;10&lt;/volume&gt;&lt;doi&gt;10.1371/journal.pone.0141590&lt;/doi&gt;&lt;startpage&gt;e0141590&lt;/startpage&gt;&lt;publication_date&gt;99201511021200000000222000&lt;/publication_date&gt;&lt;url&gt;http://dx.plos.org/10.1371/journal.pone.0141590&lt;/url&gt;&lt;citekey&gt;Lange:2015fn&lt;/citekey&gt;&lt;type&gt;400&lt;/type&gt;&lt;title&gt;AmpliconDuo: A Split-Sample Filtering Protocol for High-Throughput Amplicon Sequencing of Microbial Communities&lt;/title&gt;&lt;publisher&gt;Public Library of Science&lt;/publisher&gt;&lt;number&gt;11&lt;/number&gt;&lt;subtype&gt;400&lt;/subtype&gt;&lt;endpage&gt;22&lt;/endpage&gt;&lt;bundle&gt;&lt;publication&gt;&lt;url&gt;http://www.plosone.org/&lt;/url&gt;&lt;title&gt;PloS one&lt;/title&gt;&lt;type&gt;-100&lt;/type&gt;&lt;subtype&gt;-100&lt;/subtype&gt;&lt;uuid&gt;1D6F4235-EFEF-4B84-B06B-A3B239622C6C&lt;/uuid&gt;&lt;/publication&gt;&lt;/bundle&gt;&lt;authors&gt;&lt;author&gt;&lt;firstName&gt;Anja&lt;/firstName&gt;&lt;lastName&gt;Lange&lt;/lastName&gt;&lt;/author&gt;&lt;author&gt;&lt;firstName&gt;Steffen&lt;/firstName&gt;&lt;lastName&gt;Jost&lt;/lastName&gt;&lt;/author&gt;&lt;author&gt;&lt;firstName&gt;Dominik&lt;/firstName&gt;&lt;lastName&gt;Heider&lt;/lastName&gt;&lt;/author&gt;&lt;author&gt;&lt;firstName&gt;Christina&lt;/firstName&gt;&lt;lastName&gt;Bock&lt;/lastName&gt;&lt;/author&gt;&lt;author&gt;&lt;firstName&gt;Bettina&lt;/firstName&gt;&lt;lastName&gt;Budeus&lt;/lastName&gt;&lt;/author&gt;&lt;author&gt;&lt;firstName&gt;Elmar&lt;/firstName&gt;&lt;lastName&gt;Schilling&lt;/lastName&gt;&lt;/author&gt;&lt;author&gt;&lt;firstName&gt;Axel&lt;/firstName&gt;&lt;lastName&gt;Strittmatter&lt;/lastName&gt;&lt;/author&gt;&lt;author&gt;&lt;firstName&gt;Jens&lt;/firstName&gt;&lt;lastName&gt;Boenigk&lt;/lastName&gt;&lt;/author&gt;&lt;author&gt;&lt;firstName&gt;Daniel&lt;/firstName&gt;&lt;lastName&gt;Hoffmann&lt;/lastName&gt;&lt;/author&gt;&lt;/authors&gt;&lt;editors&gt;&lt;author&gt;&lt;firstName&gt;Maurizio&lt;/firstName&gt;&lt;lastName&gt;Casiraghi&lt;/lastName&gt;&lt;/author&gt;&lt;/editors&gt;&lt;/publication&gt;&lt;/publications&gt;&lt;cites&gt;&lt;/cites&gt;&lt;/citation&gt;</w:instrText>
      </w:r>
      <w:r w:rsidRPr="006861C7">
        <w:fldChar w:fldCharType="separate"/>
      </w:r>
      <w:r>
        <w:rPr>
          <w:rFonts w:eastAsia="SimSun"/>
          <w:szCs w:val="24"/>
          <w:lang w:val="de-DE"/>
        </w:rPr>
        <w:t>(Lange et al., 2015)</w:t>
      </w:r>
      <w:r w:rsidRPr="006861C7">
        <w:fldChar w:fldCharType="end"/>
      </w:r>
      <w:r w:rsidRPr="006861C7">
        <w:t xml:space="preserve">. While we have previously encouraged the use of fusion primers due to their ease of use (single step PCR, </w:t>
      </w:r>
      <w:r w:rsidRPr="006861C7">
        <w:fldChar w:fldCharType="begin"/>
      </w:r>
      <w:r>
        <w:instrText xml:space="preserve"> ADDIN PAPERS2_CITATIONS &lt;citation&gt;&lt;uuid&gt;550C3896-0621-4C84-83B9-737647C01E2C&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Pr="006861C7">
        <w:fldChar w:fldCharType="separate"/>
      </w:r>
      <w:r>
        <w:rPr>
          <w:rFonts w:eastAsia="SimSun"/>
          <w:szCs w:val="24"/>
          <w:lang w:val="de-DE"/>
        </w:rPr>
        <w:t>(Elbrecht and Leese, 2015)</w:t>
      </w:r>
      <w:r w:rsidRPr="006861C7">
        <w:fldChar w:fldCharType="end"/>
      </w:r>
      <w:r w:rsidRPr="006861C7">
        <w:t xml:space="preserve">), we have to acknowledge that they decrease PCR efficiency </w:t>
      </w:r>
      <w:r w:rsidRPr="006861C7">
        <w:fldChar w:fldCharType="begin"/>
      </w:r>
      <w:r>
        <w:instrText xml:space="preserve"> ADDIN PAPERS2_CITATIONS &lt;citation&gt;&lt;uuid&gt;E410E942-772A-4D7C-8C26-2B28440C83FB&lt;/uuid&gt;&lt;priority&gt;0&lt;/priority&gt;&lt;publications&gt;&lt;publication&gt;&lt;uuid&gt;7CD4B5C1-251A-4BF6-B442-315227777205&lt;/uuid&gt;&lt;volume&gt;15&lt;/volume&gt;&lt;doi&gt;10.1111/1755-0998.12402&lt;/doi&gt;&lt;startpage&gt;1289&lt;/startpage&gt;&lt;publication_date&gt;99201503201200000000222000&lt;/publication_date&gt;&lt;url&gt;http://doi.wiley.com/10.1111/1755-0998.12402&lt;/url&gt;&lt;citekey&gt;Schnell:2015hy&lt;/citekey&gt;&lt;type&gt;400&lt;/type&gt;&lt;title&gt;Tag jumps illuminated - reducing sequence-to-sample misidentifications in metabarcoding studies&lt;/title&gt;&lt;number&gt;6&lt;/number&gt;&lt;subtype&gt;400&lt;/subtype&gt;&lt;endpage&gt;1303&lt;/endpage&gt;&lt;bundle&gt;&lt;publication&gt;&lt;title&gt;Molecular ecology resources&lt;/title&gt;&lt;type&gt;-100&lt;/type&gt;&lt;subtype&gt;-100&lt;/subtype&gt;&lt;uuid&gt;7CE88982-FDCB-4CC7-8286-36DE0C8F5823&lt;/uuid&gt;&lt;/publication&gt;&lt;/bundle&gt;&lt;authors&gt;&lt;author&gt;&lt;firstName&gt;Ida&lt;/firstName&gt;&lt;middleNames&gt;Baerholm&lt;/middleNames&gt;&lt;lastName&gt;Schnell&lt;/lastName&gt;&lt;/author&gt;&lt;author&gt;&lt;firstName&gt;Kristine&lt;/firstName&gt;&lt;lastName&gt;Bohmann&lt;/lastName&gt;&lt;/author&gt;&lt;author&gt;&lt;firstName&gt;M&lt;/firstName&gt;&lt;middleNames&gt;THOMAS P&lt;/middleNames&gt;&lt;lastName&gt;Gilbert&lt;/lastName&gt;&lt;/author&gt;&lt;/authors&gt;&lt;/publication&gt;&lt;/publications&gt;&lt;cites&gt;&lt;/cites&gt;&lt;/citation&gt;</w:instrText>
      </w:r>
      <w:r w:rsidRPr="006861C7">
        <w:fldChar w:fldCharType="separate"/>
      </w:r>
      <w:r>
        <w:rPr>
          <w:rFonts w:eastAsia="SimSun"/>
          <w:szCs w:val="24"/>
          <w:lang w:val="de-DE"/>
        </w:rPr>
        <w:t>(Schnell et al., 2015)</w:t>
      </w:r>
      <w:r w:rsidRPr="006861C7">
        <w:fldChar w:fldCharType="end"/>
      </w:r>
      <w:r w:rsidRPr="006861C7">
        <w:t>. Thus</w:t>
      </w:r>
      <w:r>
        <w:t>,</w:t>
      </w:r>
      <w:r w:rsidRPr="006861C7">
        <w:t xml:space="preserve"> two step PCRs might be better suited for environmental samples because they often contain PCR inhibitors, even t</w:t>
      </w:r>
      <w:r>
        <w:t>h</w:t>
      </w:r>
      <w:r w:rsidRPr="006861C7">
        <w:t xml:space="preserve">ough two step PCR can be more prone to tag switching </w:t>
      </w:r>
      <w:r w:rsidRPr="006861C7">
        <w:fldChar w:fldCharType="begin"/>
      </w:r>
      <w:r>
        <w:instrText xml:space="preserve"> ADDIN PAPERS2_CITATIONS &lt;citation&gt;&lt;uuid&gt;8B4CCFF1-6850-42C4-994E-626DF14DC37F&lt;/uuid&gt;&lt;priority&gt;0&lt;/priority&gt;&lt;publications&gt;&lt;publication&gt;&lt;uuid&gt;7CD4B5C1-251A-4BF6-B442-315227777205&lt;/uuid&gt;&lt;volume&gt;15&lt;/volume&gt;&lt;doi&gt;10.1111/1755-0998.12402&lt;/doi&gt;&lt;startpage&gt;1289&lt;/startpage&gt;&lt;publication_date&gt;99201503201200000000222000&lt;/publication_date&gt;&lt;url&gt;http://doi.wiley.com/10.1111/1755-0998.12402&lt;/url&gt;&lt;citekey&gt;Schnell:2015hy&lt;/citekey&gt;&lt;type&gt;400&lt;/type&gt;&lt;title&gt;Tag jumps illuminated - reducing sequence-to-sample misidentifications in metabarcoding studies&lt;/title&gt;&lt;number&gt;6&lt;/number&gt;&lt;subtype&gt;400&lt;/subtype&gt;&lt;endpage&gt;1303&lt;/endpage&gt;&lt;bundle&gt;&lt;publication&gt;&lt;title&gt;Molecular ecology resources&lt;/title&gt;&lt;type&gt;-100&lt;/type&gt;&lt;subtype&gt;-100&lt;/subtype&gt;&lt;uuid&gt;7CE88982-FDCB-4CC7-8286-36DE0C8F5823&lt;/uuid&gt;&lt;/publication&gt;&lt;/bundle&gt;&lt;authors&gt;&lt;author&gt;&lt;firstName&gt;Ida&lt;/firstName&gt;&lt;middleNames&gt;Baerholm&lt;/middleNames&gt;&lt;lastName&gt;Schnell&lt;/lastName&gt;&lt;/author&gt;&lt;author&gt;&lt;firstName&gt;Kristine&lt;/firstName&gt;&lt;lastName&gt;Bohmann&lt;/lastName&gt;&lt;/author&gt;&lt;author&gt;&lt;firstName&gt;M&lt;/firstName&gt;&lt;middleNames&gt;THOMAS P&lt;/middleNames&gt;&lt;lastName&gt;Gilbert&lt;/lastName&gt;&lt;/author&gt;&lt;/authors&gt;&lt;/publication&gt;&lt;publication&gt;&lt;uuid&gt;F4B214D7-7022-4069-8EA2-6171E11118D4&lt;/uuid&gt;&lt;volume&gt;43&lt;/volume&gt;&lt;doi&gt;10.1093/nar/gkv107&lt;/doi&gt;&lt;startpage&gt;2513&lt;/startpage&gt;&lt;publication_date&gt;99201503111200000000222000&lt;/publication_date&gt;&lt;url&gt;http://nar.oxfordjournals.org/lookup/doi/10.1093/nar/gkv107&lt;/url&gt;&lt;citekey&gt;Esling:2015dx&lt;/citekey&gt;&lt;type&gt;400&lt;/type&gt;&lt;title&gt;Accurate multiplexing and filtering for high-throughput amplicon-sequencing.&lt;/title&gt;&lt;publisher&gt;Oxford University Press&lt;/publisher&gt;&lt;institution&gt;Department of Genetics and Evolution, University of Geneva, Sciences 3, 30, Quai Ernest Ansermet, CH-1211 Geneva 4, Switzerland IRCAM, UMR 9912, Université Pierre et Marie Curie, Paris, France philippe.esling@unige.ch.&lt;/institution&gt;&lt;number&gt;5&lt;/number&gt;&lt;subtype&gt;400&lt;/subtype&gt;&lt;endpage&gt;2524&lt;/endpage&gt;&lt;bundle&gt;&lt;publication&gt;&lt;title&gt;Nucleic acids research&lt;/title&gt;&lt;type&gt;-100&lt;/type&gt;&lt;subtype&gt;-100&lt;/subtype&gt;&lt;uuid&gt;3656593F-D6A3-4D45-825B-55E0D44E62F7&lt;/uuid&gt;&lt;/publication&gt;&lt;/bundle&gt;&lt;authors&gt;&lt;author&gt;&lt;firstName&gt;Philippe&lt;/firstName&gt;&lt;lastName&gt;Esling&lt;/lastName&gt;&lt;/author&gt;&lt;author&gt;&lt;firstName&gt;Franck&lt;/firstName&gt;&lt;lastName&gt;Lejzerowicz&lt;/lastName&gt;&lt;/author&gt;&lt;author&gt;&lt;firstName&gt;Jan&lt;/firstName&gt;&lt;lastName&gt;Pawlowski&lt;/lastName&gt;&lt;/author&gt;&lt;/authors&gt;&lt;/publication&gt;&lt;/publications&gt;&lt;cites&gt;&lt;/cites&gt;&lt;/citation&gt;</w:instrText>
      </w:r>
      <w:r w:rsidRPr="006861C7">
        <w:fldChar w:fldCharType="separate"/>
      </w:r>
      <w:r>
        <w:rPr>
          <w:rFonts w:eastAsia="SimSun"/>
          <w:szCs w:val="24"/>
          <w:lang w:val="de-DE"/>
        </w:rPr>
        <w:t>(Esling et al., 2015; Schnell et al., 2015)</w:t>
      </w:r>
      <w:r w:rsidRPr="006861C7">
        <w:fldChar w:fldCharType="end"/>
      </w:r>
      <w:r w:rsidRPr="006861C7">
        <w:t>.</w:t>
      </w:r>
    </w:p>
    <w:p w14:paraId="78456023" w14:textId="77777777" w:rsidR="00DB41E2" w:rsidRPr="006861C7" w:rsidRDefault="00DB41E2" w:rsidP="00DB41E2">
      <w:pPr>
        <w:pStyle w:val="KeinLeerraum"/>
      </w:pPr>
    </w:p>
    <w:p w14:paraId="18861E8C" w14:textId="77777777" w:rsidR="00DB41E2" w:rsidRDefault="00DB41E2" w:rsidP="00DB41E2">
      <w:pPr>
        <w:pStyle w:val="KeinLeerraum"/>
      </w:pPr>
      <w:r>
        <w:t xml:space="preserve">Besides </w:t>
      </w:r>
      <w:proofErr w:type="spellStart"/>
      <w:r>
        <w:t>metabarcoding</w:t>
      </w:r>
      <w:proofErr w:type="spellEnd"/>
      <w:r>
        <w:t>,</w:t>
      </w:r>
      <w:r w:rsidRPr="006861C7">
        <w:t xml:space="preserve"> </w:t>
      </w:r>
      <w:proofErr w:type="spellStart"/>
      <w:r w:rsidRPr="006861C7">
        <w:t>metagenomic</w:t>
      </w:r>
      <w:proofErr w:type="spellEnd"/>
      <w:r w:rsidRPr="006861C7">
        <w:t xml:space="preserve"> approaches using enrichment for mitochondrial genomes </w:t>
      </w:r>
      <w:r>
        <w:t>may become</w:t>
      </w:r>
      <w:r w:rsidRPr="006861C7">
        <w:t xml:space="preserve"> suitable for </w:t>
      </w:r>
      <w:r>
        <w:t>bio-assessment as well</w:t>
      </w:r>
      <w:r w:rsidRPr="006861C7">
        <w:t xml:space="preserve">, with potentially less bias as the PCR amplification step can be omitted </w:t>
      </w:r>
      <w:r w:rsidRPr="006861C7">
        <w:fldChar w:fldCharType="begin"/>
      </w:r>
      <w:r>
        <w:instrText xml:space="preserve"> ADDIN PAPERS2_CITATIONS &lt;citation&gt;&lt;uuid&gt;32E1A7C2-DA95-4EA7-867B-71CAF9CDB8BD&lt;/uuid&gt;&lt;priority&gt;0&lt;/priority&gt;&lt;publications&gt;&lt;publication&gt;&lt;publication_date&gt;99201510011200000000222000&lt;/publication_date&gt;&lt;doi&gt;10.1111/1755-0998.12472&lt;/doi&gt;&lt;institution&gt;China National GeneBank-Shenzhen, BGI-Shenzhen, Shenzhen, Guangdong Province, 518083, China.&lt;/institution&gt;&lt;accepted_date&gt;99201509241200000000222000&lt;/accepted_date&gt;&lt;title&gt;Mitochondrial capture enriches mito-DNA 100 fold, enabling PCR-free mitogenomics biodiversity analysis.&lt;/title&gt;&lt;revision_date&gt;99201509191200000000222000&lt;/revision_date&gt;&lt;subtype&gt;400&lt;/subtype&gt;&lt;uuid&gt;F0407A19-E99B-4954-985D-D9D928566E38&lt;/uuid&gt;&lt;type&gt;400&lt;/type&gt;&lt;submission_date&gt;99201411291200000000222000&lt;/submission_date&gt;&lt;url&gt;http://eutils.ncbi.nlm.nih.gov/entrez/eutils/elink.fcgi?dbfrom=pubmed&amp;amp;id=26425990&amp;amp;retmode=ref&amp;amp;cmd=prlinks&lt;/url&gt;&lt;bundle&gt;&lt;publication&gt;&lt;title&gt;Molecular ecology resources&lt;/title&gt;&lt;type&gt;-100&lt;/type&gt;&lt;subtype&gt;-100&lt;/subtype&gt;&lt;uuid&gt;7CE88982-FDCB-4CC7-8286-36DE0C8F5823&lt;/uuid&gt;&lt;/publication&gt;&lt;/bundle&gt;&lt;authors&gt;&lt;author&gt;&lt;firstName&gt;Shanlin&lt;/firstName&gt;&lt;lastName&gt;Liu&lt;/lastName&gt;&lt;/author&gt;&lt;author&gt;&lt;firstName&gt;Xin&lt;/firstName&gt;&lt;lastName&gt;Wang&lt;/lastName&gt;&lt;/author&gt;&lt;author&gt;&lt;firstName&gt;Lin&lt;/firstName&gt;&lt;lastName&gt;Xie&lt;/lastName&gt;&lt;/author&gt;&lt;author&gt;&lt;firstName&gt;Meihua&lt;/firstName&gt;&lt;lastName&gt;Tan&lt;/lastName&gt;&lt;/author&gt;&lt;author&gt;&lt;firstName&gt;Zhenyu&lt;/firstName&gt;&lt;lastName&gt;Li&lt;/lastName&gt;&lt;/author&gt;&lt;author&gt;&lt;firstName&gt;Xu&lt;/firstName&gt;&lt;lastName&gt;Su&lt;/lastName&gt;&lt;/author&gt;&lt;author&gt;&lt;firstName&gt;Hao&lt;/firstName&gt;&lt;lastName&gt;Zhang&lt;/lastName&gt;&lt;/author&gt;&lt;author&gt;&lt;firstName&gt;Bernhard&lt;/firstName&gt;&lt;lastName&gt;Misof&lt;/lastName&gt;&lt;/author&gt;&lt;author&gt;&lt;firstName&gt;Karl&lt;/firstName&gt;&lt;middleNames&gt;M&lt;/middleNames&gt;&lt;lastName&gt;Kjer&lt;/lastName&gt;&lt;/author&gt;&lt;author&gt;&lt;firstName&gt;Min&lt;/firstName&gt;&lt;lastName&gt;Tang&lt;/lastName&gt;&lt;/author&gt;&lt;author&gt;&lt;firstName&gt;Oliver&lt;/firstName&gt;&lt;lastName&gt;Niehuis&lt;/lastName&gt;&lt;/author&gt;&lt;author&gt;&lt;firstName&gt;Hui&lt;/firstName&gt;&lt;lastName&gt;Jiang&lt;/lastName&gt;&lt;/author&gt;&lt;author&gt;&lt;firstName&gt;Xin&lt;/firstName&gt;&lt;lastName&gt;Zhou&lt;/lastName&gt;&lt;/author&gt;&lt;/authors&gt;&lt;/publication&gt;&lt;/publications&gt;&lt;cites&gt;&lt;/cites&gt;&lt;/citation&gt;</w:instrText>
      </w:r>
      <w:r w:rsidRPr="006861C7">
        <w:fldChar w:fldCharType="separate"/>
      </w:r>
      <w:r>
        <w:rPr>
          <w:rFonts w:eastAsia="SimSun"/>
          <w:szCs w:val="24"/>
          <w:lang w:val="de-DE"/>
        </w:rPr>
        <w:t>(Liu et al., 2015)</w:t>
      </w:r>
      <w:r w:rsidRPr="006861C7">
        <w:fldChar w:fldCharType="end"/>
      </w:r>
      <w:r w:rsidRPr="006861C7">
        <w:t xml:space="preserve">. However, as briefly discussed in </w:t>
      </w:r>
      <w:r w:rsidRPr="006861C7">
        <w:fldChar w:fldCharType="begin"/>
      </w:r>
      <w:r>
        <w:instrText xml:space="preserve"> ADDIN PAPERS2_CITATIONS &lt;citation&gt;&lt;uuid&gt;AD7514F0-56B7-4083-A645-AD58107CB6C3&lt;/uuid&gt;&lt;priority&gt;0&lt;/priority&gt;&lt;publications&gt;&lt;publication&gt;&lt;uuid&gt;D0DC0C18-B72D-4F3C-8354-44EC702E46B7&lt;/uuid&gt;&lt;volume&gt;4&lt;/volume&gt;&lt;doi&gt;10.7717/peerj.1966&lt;/doi&gt;&lt;startpage&gt;e1966&lt;/startpage&gt;&lt;publication_date&gt;99201600001200000000200000&lt;/publication_date&gt;&lt;url&gt;https://peerj.com/articles/1966&lt;/url&gt;&lt;type&gt;400&lt;/type&gt;&lt;title&gt;Testing the potential of a ribosomal 16S marker for DNA metabarcoding of insects&lt;/title&gt;&lt;publisher&gt;PeerJ Inc.&lt;/publisher&gt;&lt;number&gt;4&lt;/number&gt;&lt;subtype&gt;400&lt;/subtype&gt;&lt;endpage&gt;12&lt;/endpage&gt;&lt;bundle&gt;&lt;publication&gt;&lt;title&gt;PeerJ&lt;/title&gt;&lt;type&gt;-100&lt;/type&gt;&lt;subtype&gt;-100&lt;/subtype&gt;&lt;uuid&gt;5EBA4B9F-B369-4753-B381-FDCC83951E9F&lt;/uuid&gt;&lt;/publication&gt;&lt;/bundle&gt;&lt;authors&gt;&lt;author&gt;&lt;firstName&gt;Vasco&lt;/firstName&gt;&lt;lastName&gt;Elbrecht&lt;/lastName&gt;&lt;/author&gt;&lt;author&gt;&lt;firstName&gt;Pierre&lt;/firstName&gt;&lt;lastName&gt;Taberlet&lt;/lastName&gt;&lt;/author&gt;&lt;author&gt;&lt;firstName&gt;Tony&lt;/firstName&gt;&lt;lastName&gt;Dejean&lt;/lastName&gt;&lt;/author&gt;&lt;author&gt;&lt;firstName&gt;Alice&lt;/firstName&gt;&lt;lastName&gt;Valentini&lt;/lastName&gt;&lt;/author&gt;&lt;author&gt;&lt;firstName&gt;Philippe&lt;/firstName&gt;&lt;lastName&gt;Usseglio-Polatera&lt;/lastName&gt;&lt;/author&gt;&lt;author&gt;&lt;firstName&gt;Jean-Nicolas&lt;/firstName&gt;&lt;lastName&gt;Beisel&lt;/lastName&gt;&lt;/author&gt;&lt;author&gt;&lt;firstName&gt;Eric&lt;/firstName&gt;&lt;lastName&gt;Coissac&lt;/lastName&gt;&lt;/author&gt;&lt;author&gt;&lt;firstName&gt;Frederic&lt;/firstName&gt;&lt;lastName&gt;Boyer&lt;/lastName&gt;&lt;/author&gt;&lt;author&gt;&lt;firstName&gt;Florian&lt;/firstName&gt;&lt;lastName&gt;Leese&lt;/lastName&gt;&lt;/author&gt;&lt;/authors&gt;&lt;/publication&gt;&lt;/publications&gt;&lt;cites&gt;&lt;/cites&gt;&lt;/citation&gt;</w:instrText>
      </w:r>
      <w:r w:rsidRPr="006861C7">
        <w:fldChar w:fldCharType="separate"/>
      </w:r>
      <w:r>
        <w:rPr>
          <w:rFonts w:eastAsia="SimSun"/>
          <w:szCs w:val="24"/>
          <w:lang w:val="de-DE"/>
        </w:rPr>
        <w:t>(Elbrecht et al., 2016)</w:t>
      </w:r>
      <w:r w:rsidRPr="006861C7">
        <w:fldChar w:fldCharType="end"/>
      </w:r>
      <w:r w:rsidRPr="006861C7">
        <w:t xml:space="preserve">, </w:t>
      </w:r>
      <w:proofErr w:type="spellStart"/>
      <w:r w:rsidRPr="006861C7">
        <w:t>metagenomics</w:t>
      </w:r>
      <w:proofErr w:type="spellEnd"/>
      <w:r w:rsidRPr="006861C7">
        <w:t xml:space="preserve"> methods have to be further validated and mitochondrial reference genome libraries need to be completed </w:t>
      </w:r>
      <w:r w:rsidRPr="006861C7">
        <w:fldChar w:fldCharType="begin"/>
      </w:r>
      <w:r>
        <w:instrText xml:space="preserve"> ADDIN PAPERS2_CITATIONS &lt;citation&gt;&lt;uuid&gt;7AFE50C8-2258-4355-A3EE-BDD58C16788A&lt;/uuid&gt;&lt;priority&gt;0&lt;/priority&gt;&lt;publications&gt;&lt;publication&gt;&lt;publication_date&gt;99201500001200000000200000&lt;/publication_date&gt;&lt;doi&gt;10.1111/1755-0998.12488&lt;/doi&gt;&lt;title&gt;Targeted gene enrichment and high</w:instrText>
      </w:r>
      <w:r>
        <w:rPr>
          <w:rFonts w:ascii="Adobe Caslon Pro Bold Italic" w:hAnsi="Adobe Caslon Pro Bold Italic" w:cs="Adobe Caslon Pro Bold Italic"/>
        </w:rPr>
        <w:instrText>‐</w:instrText>
      </w:r>
      <w:r>
        <w:instrText>throughput sequencing for environmental biomonitoring: a case study using freshwater macroinvertebrates&lt;/title&gt;&lt;uuid&gt;473052EB-A1E0-4575-9358-6897A533FAC8&lt;/uuid&gt;&lt;subtype&gt;400&lt;/subtype&gt;&lt;type&gt;400&lt;/type&gt;&lt;citekey&gt;Dowle:2015ho&lt;/citekey&gt;&lt;url&gt;http://onlinelibrary.wiley.com/doi/10.1111/1755-0998.12488/full&lt;/url&gt;&lt;bundle&gt;&lt;publication&gt;&lt;title&gt;Molecular Ecology&lt;/title&gt;&lt;type&gt;-100&lt;/type&gt;&lt;subtype&gt;-100&lt;/subtype&gt;&lt;uuid&gt;E10C134E-637B-4769-B24B-030C10D8451F&lt;/uuid&gt;&lt;/publication&gt;&lt;/bundle&gt;&lt;authors&gt;&lt;author&gt;&lt;firstName&gt;E&lt;/firstName&gt;&lt;middleNames&gt;J&lt;/middleNames&gt;&lt;lastName&gt;Dowle&lt;/lastName&gt;&lt;/author&gt;&lt;author&gt;&lt;firstName&gt;X&lt;/firstName&gt;&lt;lastName&gt;Pochon&lt;/lastName&gt;&lt;/author&gt;&lt;author&gt;&lt;firstName&gt;J&lt;/firstName&gt;&lt;middleNames&gt;C&lt;/middleNames&gt;&lt;lastName&gt;Banks&lt;/lastName&gt;&lt;/author&gt;&lt;/authors&gt;&lt;/publication&gt;&lt;/publications&gt;&lt;cites&gt;&lt;/cites&gt;&lt;/citation&gt;</w:instrText>
      </w:r>
      <w:r w:rsidRPr="006861C7">
        <w:fldChar w:fldCharType="separate"/>
      </w:r>
      <w:r>
        <w:rPr>
          <w:rFonts w:eastAsia="SimSun"/>
          <w:szCs w:val="24"/>
          <w:lang w:val="de-DE"/>
        </w:rPr>
        <w:t>(Dowle et al., 2015)</w:t>
      </w:r>
      <w:r w:rsidRPr="006861C7">
        <w:fldChar w:fldCharType="end"/>
      </w:r>
      <w:r w:rsidRPr="006861C7">
        <w:t>.</w:t>
      </w:r>
    </w:p>
    <w:p w14:paraId="6C4E8FD6" w14:textId="77777777" w:rsidR="00DB41E2" w:rsidRDefault="00DB41E2" w:rsidP="00DB41E2">
      <w:pPr>
        <w:pStyle w:val="KeinLeerraum"/>
      </w:pPr>
    </w:p>
    <w:p w14:paraId="1CF100AD" w14:textId="77777777" w:rsidR="00DB41E2" w:rsidRPr="006861C7" w:rsidRDefault="00DB41E2" w:rsidP="00DB41E2">
      <w:pPr>
        <w:pStyle w:val="KeinLeerraum"/>
      </w:pPr>
      <w:r>
        <w:t xml:space="preserve">Thus, the probably most suitable approach for bio-assessment to date is to use the DNA </w:t>
      </w:r>
      <w:proofErr w:type="spellStart"/>
      <w:r>
        <w:t>metabarcoding</w:t>
      </w:r>
      <w:proofErr w:type="spellEnd"/>
      <w:r>
        <w:t xml:space="preserve"> approach with the COI marker for DNA based monitoring of stream ecosystems. However, </w:t>
      </w:r>
      <w:r w:rsidRPr="006861C7">
        <w:t xml:space="preserve">primers </w:t>
      </w:r>
      <w:r>
        <w:t xml:space="preserve">for DNA </w:t>
      </w:r>
      <w:proofErr w:type="spellStart"/>
      <w:r>
        <w:t>metabarcoding</w:t>
      </w:r>
      <w:proofErr w:type="spellEnd"/>
      <w:r>
        <w:t xml:space="preserve"> of </w:t>
      </w:r>
      <w:proofErr w:type="spellStart"/>
      <w:r>
        <w:t>macroinvertebrates</w:t>
      </w:r>
      <w:proofErr w:type="spellEnd"/>
      <w:r>
        <w:t xml:space="preserve"> are ideally further optimized and primers from the literature should be tested more extensively on mock communities. </w:t>
      </w:r>
    </w:p>
    <w:p w14:paraId="64B3B11B" w14:textId="77777777" w:rsidR="00DB41E2" w:rsidRPr="006861C7" w:rsidRDefault="00DB41E2" w:rsidP="00DB41E2">
      <w:pPr>
        <w:pStyle w:val="TextBody"/>
        <w:spacing w:line="240" w:lineRule="auto"/>
        <w:rPr>
          <w:b/>
          <w:bCs/>
        </w:rPr>
      </w:pPr>
    </w:p>
    <w:p w14:paraId="5C9E44DB" w14:textId="77777777" w:rsidR="00DB41E2" w:rsidRPr="006861C7" w:rsidRDefault="00DB41E2" w:rsidP="00DB41E2">
      <w:pPr>
        <w:pStyle w:val="berschrift2"/>
      </w:pPr>
      <w:r w:rsidRPr="006861C7">
        <w:t>Conclusions</w:t>
      </w:r>
    </w:p>
    <w:p w14:paraId="62DBD18E" w14:textId="72077082" w:rsidR="00645724" w:rsidRDefault="00DB41E2" w:rsidP="00645724">
      <w:pPr>
        <w:pStyle w:val="KeinLeerraum"/>
      </w:pPr>
      <w:r>
        <w:t xml:space="preserve">Reliable and quick bio-assessment is of critical importance for Environmental Impact Assessment of aquatic ecosystems. DNA </w:t>
      </w:r>
      <w:proofErr w:type="spellStart"/>
      <w:r>
        <w:t>metabarcoding</w:t>
      </w:r>
      <w:proofErr w:type="spellEnd"/>
      <w:r>
        <w:t xml:space="preserve"> has the potential to meet this challenge, if suitable primers can be obtained. We were able to show with </w:t>
      </w:r>
      <w:r w:rsidRPr="00814E9E">
        <w:rPr>
          <w:i/>
        </w:rPr>
        <w:t xml:space="preserve">in </w:t>
      </w:r>
      <w:proofErr w:type="spellStart"/>
      <w:r w:rsidRPr="00814E9E">
        <w:rPr>
          <w:i/>
        </w:rPr>
        <w:t>silico</w:t>
      </w:r>
      <w:proofErr w:type="spellEnd"/>
      <w:r>
        <w:t xml:space="preserve"> evaluations as well as experimental data with COI </w:t>
      </w:r>
      <w:proofErr w:type="spellStart"/>
      <w:r>
        <w:t>metabarcoding</w:t>
      </w:r>
      <w:proofErr w:type="spellEnd"/>
      <w:r>
        <w:t xml:space="preserve"> almost the complete aquatic invertebrate community of freshwater ecosystem can be reliably detected. We provide novel degenerated primer sets with high detection rates and greatly reduced primer bias. In view of the still incomplete data bases we encourage further</w:t>
      </w:r>
      <w:r>
        <w:rPr>
          <w:i/>
        </w:rPr>
        <w:t xml:space="preserve"> </w:t>
      </w:r>
      <w:r w:rsidRPr="006861C7">
        <w:rPr>
          <w:i/>
        </w:rPr>
        <w:t xml:space="preserve">in </w:t>
      </w:r>
      <w:proofErr w:type="spellStart"/>
      <w:r w:rsidRPr="006861C7">
        <w:rPr>
          <w:i/>
        </w:rPr>
        <w:t>silico</w:t>
      </w:r>
      <w:proofErr w:type="spellEnd"/>
      <w:r w:rsidRPr="006861C7">
        <w:t xml:space="preserve"> and </w:t>
      </w:r>
      <w:r w:rsidRPr="006861C7">
        <w:rPr>
          <w:i/>
        </w:rPr>
        <w:t>in vivo</w:t>
      </w:r>
      <w:r w:rsidRPr="006861C7">
        <w:t xml:space="preserve"> </w:t>
      </w:r>
      <w:r>
        <w:t xml:space="preserve">evaluation of existing primers and further development of suitable </w:t>
      </w:r>
      <w:proofErr w:type="spellStart"/>
      <w:r>
        <w:t>metabarcoding</w:t>
      </w:r>
      <w:proofErr w:type="spellEnd"/>
      <w:r>
        <w:t xml:space="preserve"> primers to unlock the full potential of </w:t>
      </w:r>
      <w:proofErr w:type="spellStart"/>
      <w:r>
        <w:t>metabarcoding</w:t>
      </w:r>
      <w:proofErr w:type="spellEnd"/>
      <w:r>
        <w:t xml:space="preserve"> for Environmental Impact Assessment and </w:t>
      </w:r>
      <w:proofErr w:type="spellStart"/>
      <w:r>
        <w:t>biomonitoring</w:t>
      </w:r>
      <w:proofErr w:type="spellEnd"/>
      <w:r>
        <w:t xml:space="preserve">. However, already now our data suggests that for freshwater ecosystems the technique of DNA </w:t>
      </w:r>
      <w:proofErr w:type="spellStart"/>
      <w:r>
        <w:t>metabarcoding</w:t>
      </w:r>
      <w:proofErr w:type="spellEnd"/>
      <w:r>
        <w:t xml:space="preserve"> is mature enough to be used for stream monitoring on a large scale. </w:t>
      </w:r>
    </w:p>
    <w:p w14:paraId="3329DD95" w14:textId="77777777" w:rsidR="00645724" w:rsidRDefault="00645724" w:rsidP="00645724">
      <w:pPr>
        <w:pStyle w:val="KeinLeerraum"/>
      </w:pPr>
    </w:p>
    <w:p w14:paraId="0D977A42" w14:textId="77777777" w:rsidR="00645724" w:rsidRDefault="00645724" w:rsidP="00645724">
      <w:pPr>
        <w:pStyle w:val="KeinLeerraum"/>
      </w:pPr>
    </w:p>
    <w:p w14:paraId="62FE10DD" w14:textId="6E7F3444" w:rsidR="00A44A04" w:rsidRDefault="00A44A04" w:rsidP="00A44A04">
      <w:pPr>
        <w:pStyle w:val="berschrift1"/>
      </w:pPr>
      <w:r>
        <w:t>Figures</w:t>
      </w:r>
    </w:p>
    <w:p w14:paraId="412E976A" w14:textId="77777777" w:rsidR="008A288C" w:rsidRDefault="008A288C" w:rsidP="00A44A04">
      <w:pPr>
        <w:rPr>
          <w:b/>
        </w:rPr>
      </w:pPr>
    </w:p>
    <w:p w14:paraId="3CF84075" w14:textId="77777777" w:rsidR="008A288C" w:rsidRDefault="008A288C" w:rsidP="00A44A04">
      <w:pPr>
        <w:rPr>
          <w:b/>
        </w:rPr>
      </w:pPr>
    </w:p>
    <w:p w14:paraId="4FAA3EAB" w14:textId="6F527655" w:rsidR="008A288C" w:rsidRDefault="008A288C" w:rsidP="00A44A04">
      <w:pPr>
        <w:rPr>
          <w:b/>
        </w:rPr>
      </w:pPr>
      <w:r>
        <w:rPr>
          <w:b/>
          <w:noProof/>
          <w:lang w:val="de-DE" w:eastAsia="de-DE"/>
        </w:rPr>
        <w:lastRenderedPageBreak/>
        <w:drawing>
          <wp:inline distT="0" distB="0" distL="0" distR="0" wp14:anchorId="4992996F" wp14:editId="7A0F97A3">
            <wp:extent cx="6208395" cy="28041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9">
                      <a:extLst>
                        <a:ext uri="{28A0092B-C50C-407E-A947-70E740481C1C}">
                          <a14:useLocalDpi xmlns:a14="http://schemas.microsoft.com/office/drawing/2010/main" val="0"/>
                        </a:ext>
                      </a:extLst>
                    </a:blip>
                    <a:stretch>
                      <a:fillRect/>
                    </a:stretch>
                  </pic:blipFill>
                  <pic:spPr>
                    <a:xfrm>
                      <a:off x="0" y="0"/>
                      <a:ext cx="6208395" cy="2804160"/>
                    </a:xfrm>
                    <a:prstGeom prst="rect">
                      <a:avLst/>
                    </a:prstGeom>
                  </pic:spPr>
                </pic:pic>
              </a:graphicData>
            </a:graphic>
          </wp:inline>
        </w:drawing>
      </w:r>
    </w:p>
    <w:p w14:paraId="4D9C560D" w14:textId="467D8230" w:rsidR="008A288C" w:rsidRDefault="00A44A04" w:rsidP="00A44A04">
      <w:r w:rsidRPr="006861C7">
        <w:rPr>
          <w:b/>
        </w:rPr>
        <w:t>Figure 1</w:t>
      </w:r>
      <w:r w:rsidRPr="006861C7">
        <w:t xml:space="preserve">: Selection of potential COI primer sets for DNA </w:t>
      </w:r>
      <w:proofErr w:type="spellStart"/>
      <w:r w:rsidRPr="006861C7">
        <w:t>metabarcoding</w:t>
      </w:r>
      <w:proofErr w:type="spellEnd"/>
      <w:r w:rsidRPr="006861C7">
        <w:t xml:space="preserve"> of insects, targeting the </w:t>
      </w:r>
      <w:proofErr w:type="spellStart"/>
      <w:r w:rsidRPr="006861C7">
        <w:t>Folmer</w:t>
      </w:r>
      <w:proofErr w:type="spellEnd"/>
      <w:r w:rsidRPr="006861C7">
        <w:t xml:space="preserve"> region. Primer pairs shown are typically used / suggested combinations from the literature. Table S1 gives an overview of the</w:t>
      </w:r>
      <w:bookmarkStart w:id="0" w:name="_GoBack"/>
      <w:bookmarkEnd w:id="0"/>
      <w:r w:rsidRPr="006861C7">
        <w:t xml:space="preserve"> exact primer sequences and references.</w:t>
      </w:r>
    </w:p>
    <w:p w14:paraId="14601E77" w14:textId="0878C41C" w:rsidR="008A288C" w:rsidRDefault="008A288C" w:rsidP="00A44A04">
      <w:r>
        <w:br w:type="column"/>
      </w:r>
      <w:r>
        <w:rPr>
          <w:noProof/>
          <w:lang w:val="de-DE" w:eastAsia="de-DE"/>
        </w:rPr>
        <w:lastRenderedPageBreak/>
        <w:drawing>
          <wp:inline distT="0" distB="0" distL="0" distR="0" wp14:anchorId="1C08184D" wp14:editId="5C9CDEE9">
            <wp:extent cx="4335513" cy="6631359"/>
            <wp:effectExtent l="0" t="0" r="825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10">
                      <a:extLst>
                        <a:ext uri="{28A0092B-C50C-407E-A947-70E740481C1C}">
                          <a14:useLocalDpi xmlns:a14="http://schemas.microsoft.com/office/drawing/2010/main" val="0"/>
                        </a:ext>
                      </a:extLst>
                    </a:blip>
                    <a:stretch>
                      <a:fillRect/>
                    </a:stretch>
                  </pic:blipFill>
                  <pic:spPr>
                    <a:xfrm>
                      <a:off x="0" y="0"/>
                      <a:ext cx="4335513" cy="6631359"/>
                    </a:xfrm>
                    <a:prstGeom prst="rect">
                      <a:avLst/>
                    </a:prstGeom>
                  </pic:spPr>
                </pic:pic>
              </a:graphicData>
            </a:graphic>
          </wp:inline>
        </w:drawing>
      </w:r>
    </w:p>
    <w:p w14:paraId="53744A13" w14:textId="0B50380D" w:rsidR="008A288C" w:rsidRDefault="00A44A04" w:rsidP="00A44A04">
      <w:r w:rsidRPr="006861C7">
        <w:rPr>
          <w:b/>
        </w:rPr>
        <w:t xml:space="preserve">Figure </w:t>
      </w:r>
      <w:r>
        <w:rPr>
          <w:b/>
        </w:rPr>
        <w:t>2</w:t>
      </w:r>
      <w:r w:rsidRPr="006861C7">
        <w:t xml:space="preserve">: Comparison of the COI </w:t>
      </w:r>
      <w:proofErr w:type="spellStart"/>
      <w:r w:rsidRPr="006861C7">
        <w:t>Folmer</w:t>
      </w:r>
      <w:proofErr w:type="spellEnd"/>
      <w:r w:rsidRPr="006861C7">
        <w:t xml:space="preserve"> primer performance and the four tested primer combinations newly developed. All primer combinations were tested with the same ten bulk samples each containing 52 morphologically distinct </w:t>
      </w:r>
      <w:proofErr w:type="spellStart"/>
      <w:r w:rsidRPr="006861C7">
        <w:t>macroinvertebrate</w:t>
      </w:r>
      <w:proofErr w:type="spellEnd"/>
      <w:r w:rsidRPr="006861C7">
        <w:t xml:space="preserve"> taxa. The 52 taxa are shown on the x-axis with the relative number of reads obtained for each </w:t>
      </w:r>
      <w:proofErr w:type="spellStart"/>
      <w:r w:rsidRPr="006861C7">
        <w:t>morphotaxon</w:t>
      </w:r>
      <w:proofErr w:type="spellEnd"/>
      <w:r w:rsidRPr="006861C7">
        <w:t xml:space="preserve"> by black dots on the logarithmic y-axis (mean read abundance indicated by red circles), for each respective primer combination. Sequence abundance was normalized across the ten replicates and the amount of tissue used in each DNA extraction. Only OTUs with a minimum read abundance of 0.003% in at least one of the ten samples were included in analyses. Number of samples for which a </w:t>
      </w:r>
      <w:proofErr w:type="spellStart"/>
      <w:r w:rsidRPr="006861C7">
        <w:t>morphotaxon</w:t>
      </w:r>
      <w:proofErr w:type="spellEnd"/>
      <w:r w:rsidRPr="006861C7">
        <w:t xml:space="preserve"> was not detected is indicated by orange and red numbers in each plot. A thick vertical line in light red indicates if a </w:t>
      </w:r>
      <w:proofErr w:type="spellStart"/>
      <w:r w:rsidRPr="006861C7">
        <w:t>morphotaxon</w:t>
      </w:r>
      <w:proofErr w:type="spellEnd"/>
      <w:r w:rsidRPr="006861C7">
        <w:t xml:space="preserve"> was not detected.</w:t>
      </w:r>
    </w:p>
    <w:p w14:paraId="7AFB0733" w14:textId="02B805E1" w:rsidR="00A44A04" w:rsidRDefault="008A288C" w:rsidP="00A44A04">
      <w:r>
        <w:br w:type="column"/>
      </w:r>
      <w:r>
        <w:rPr>
          <w:noProof/>
          <w:lang w:val="de-DE" w:eastAsia="de-DE"/>
        </w:rPr>
        <w:lastRenderedPageBreak/>
        <w:drawing>
          <wp:inline distT="0" distB="0" distL="0" distR="0" wp14:anchorId="68C63A90" wp14:editId="79EA6C76">
            <wp:extent cx="6208395" cy="610425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png"/>
                    <pic:cNvPicPr/>
                  </pic:nvPicPr>
                  <pic:blipFill>
                    <a:blip r:embed="rId11">
                      <a:extLst>
                        <a:ext uri="{28A0092B-C50C-407E-A947-70E740481C1C}">
                          <a14:useLocalDpi xmlns:a14="http://schemas.microsoft.com/office/drawing/2010/main" val="0"/>
                        </a:ext>
                      </a:extLst>
                    </a:blip>
                    <a:stretch>
                      <a:fillRect/>
                    </a:stretch>
                  </pic:blipFill>
                  <pic:spPr>
                    <a:xfrm>
                      <a:off x="0" y="0"/>
                      <a:ext cx="6208395" cy="6104255"/>
                    </a:xfrm>
                    <a:prstGeom prst="rect">
                      <a:avLst/>
                    </a:prstGeom>
                  </pic:spPr>
                </pic:pic>
              </a:graphicData>
            </a:graphic>
          </wp:inline>
        </w:drawing>
      </w:r>
    </w:p>
    <w:p w14:paraId="2DCEA10F" w14:textId="77777777" w:rsidR="00A44A04" w:rsidRDefault="00A44A04" w:rsidP="00A44A04">
      <w:r w:rsidRPr="006861C7">
        <w:rPr>
          <w:b/>
        </w:rPr>
        <w:t xml:space="preserve">Figure </w:t>
      </w:r>
      <w:r>
        <w:rPr>
          <w:b/>
        </w:rPr>
        <w:t>3</w:t>
      </w:r>
      <w:r w:rsidRPr="006861C7">
        <w:t xml:space="preserve">: Overview of </w:t>
      </w:r>
      <w:r w:rsidRPr="006861C7">
        <w:rPr>
          <w:i/>
        </w:rPr>
        <w:t xml:space="preserve">in </w:t>
      </w:r>
      <w:proofErr w:type="spellStart"/>
      <w:r w:rsidRPr="006861C7">
        <w:rPr>
          <w:i/>
        </w:rPr>
        <w:t>silico</w:t>
      </w:r>
      <w:proofErr w:type="spellEnd"/>
      <w:r w:rsidRPr="006861C7">
        <w:t xml:space="preserve"> evaluation of primer performance using </w:t>
      </w:r>
      <w:proofErr w:type="spellStart"/>
      <w:r w:rsidRPr="006861C7">
        <w:t>PrimerMiner</w:t>
      </w:r>
      <w:proofErr w:type="spellEnd"/>
      <w:r w:rsidRPr="006861C7">
        <w:t xml:space="preserve"> v0.</w:t>
      </w:r>
      <w:r>
        <w:t>7</w:t>
      </w:r>
      <w:r w:rsidRPr="006861C7">
        <w:t xml:space="preserve"> with OTU data from </w:t>
      </w:r>
      <w:r>
        <w:t>15 freshwater assessment relevant invertebrate groups</w:t>
      </w:r>
      <w:r w:rsidRPr="006861C7">
        <w:t>. Primer performance is shown for each group in pie charts (red = failure, green = working, grey = missing data / gaps). Every primer sequence match with a mismatch penalty score of above 120 is considered a failure</w:t>
      </w:r>
      <w:r>
        <w:t>, and the amplification success displayed in each circle (excluding missing data)</w:t>
      </w:r>
      <w:r w:rsidRPr="006861C7">
        <w:t xml:space="preserve">. </w:t>
      </w:r>
      <w:r>
        <w:t>T</w:t>
      </w:r>
      <w:r w:rsidRPr="006861C7">
        <w:t xml:space="preserve">he box plot </w:t>
      </w:r>
      <w:r>
        <w:t xml:space="preserve">is based on the </w:t>
      </w:r>
      <w:r w:rsidRPr="006861C7">
        <w:t>mean penalty scores for each group</w:t>
      </w:r>
      <w:r>
        <w:t>, with the mean penalty score and degeneracy given for each primer</w:t>
      </w:r>
      <w:r w:rsidRPr="006861C7">
        <w:t xml:space="preserve">. For </w:t>
      </w:r>
      <w:proofErr w:type="spellStart"/>
      <w:r w:rsidRPr="006861C7">
        <w:t>metabarcoding</w:t>
      </w:r>
      <w:proofErr w:type="spellEnd"/>
      <w:r w:rsidRPr="006861C7">
        <w:t xml:space="preserve"> potentially suitable primers have a yellow background. For detailed evaluation parameters see scripts S2.</w:t>
      </w:r>
      <w:r>
        <w:t xml:space="preserve"> The L499 primer for the </w:t>
      </w:r>
      <w:proofErr w:type="spellStart"/>
      <w:r>
        <w:t>Trubellaria</w:t>
      </w:r>
      <w:proofErr w:type="spellEnd"/>
      <w:r>
        <w:t xml:space="preserve"> group could not be evaluated due a 3 </w:t>
      </w:r>
      <w:proofErr w:type="spellStart"/>
      <w:r>
        <w:t>bp</w:t>
      </w:r>
      <w:proofErr w:type="spellEnd"/>
      <w:r>
        <w:t xml:space="preserve"> deletion in the reference sequences, but the primer are likely to not amplify well. </w:t>
      </w:r>
    </w:p>
    <w:p w14:paraId="06BF2871" w14:textId="6E9670AD" w:rsidR="00A44A04" w:rsidRPr="00A44A04" w:rsidRDefault="008A288C" w:rsidP="00A44A04">
      <w:r>
        <w:br w:type="column"/>
      </w:r>
    </w:p>
    <w:p w14:paraId="5ED6D1D4" w14:textId="77777777" w:rsidR="00645724" w:rsidRDefault="00645724" w:rsidP="00645724">
      <w:pPr>
        <w:pStyle w:val="berschrift1"/>
      </w:pPr>
      <w:r>
        <w:t>Conflict of Interest</w:t>
      </w:r>
    </w:p>
    <w:p w14:paraId="1B68D8B8" w14:textId="77777777" w:rsidR="00645724" w:rsidRPr="00645724" w:rsidRDefault="00645724" w:rsidP="00645724">
      <w:r w:rsidRPr="00645724">
        <w:rPr>
          <w:rFonts w:eastAsia="Times New Roman" w:cs="Times New Roman"/>
          <w:szCs w:val="24"/>
          <w:lang w:val="en-GB" w:eastAsia="en-GB"/>
        </w:rPr>
        <w:t>The authors declare that the research was conducted in the absence of any commercial or financial relationships that could be construed as a potential conflict of interest.</w:t>
      </w:r>
    </w:p>
    <w:p w14:paraId="204ED1CE" w14:textId="77777777" w:rsidR="00645724" w:rsidRDefault="00645724" w:rsidP="00645724">
      <w:pPr>
        <w:pStyle w:val="berschrift1"/>
      </w:pPr>
      <w:r>
        <w:t>Author Contributions</w:t>
      </w:r>
    </w:p>
    <w:p w14:paraId="09057A1A" w14:textId="4C48CDE3" w:rsidR="00645724" w:rsidRPr="00645724" w:rsidRDefault="00645724" w:rsidP="00645724">
      <w:r w:rsidRPr="0002539A">
        <w:t>VE and FL conceived the ideas and designed methodology</w:t>
      </w:r>
      <w:r>
        <w:t>,</w:t>
      </w:r>
      <w:r w:rsidRPr="0002539A">
        <w:t xml:space="preserve"> VE </w:t>
      </w:r>
      <w:r>
        <w:t>did carry out the laboratory work</w:t>
      </w:r>
      <w:r w:rsidRPr="0002539A">
        <w:t xml:space="preserve"> and analyzed the data</w:t>
      </w:r>
      <w:r>
        <w:t>,</w:t>
      </w:r>
      <w:r w:rsidRPr="0002539A">
        <w:t xml:space="preserve"> VE led the writing of the manuscript. All authors contributed critically to the drafts and gave final approval for publication.</w:t>
      </w:r>
    </w:p>
    <w:p w14:paraId="6EDC10D4" w14:textId="77777777" w:rsidR="00645724" w:rsidRPr="00376CC5" w:rsidRDefault="00645724" w:rsidP="00645724">
      <w:pPr>
        <w:pStyle w:val="berschrift1"/>
      </w:pPr>
      <w:r w:rsidRPr="00376CC5">
        <w:t>Funding</w:t>
      </w:r>
    </w:p>
    <w:p w14:paraId="0B7E77ED" w14:textId="4C10396A" w:rsidR="00645724" w:rsidRPr="00376CC5" w:rsidRDefault="00645724" w:rsidP="00645724">
      <w:pPr>
        <w:rPr>
          <w:szCs w:val="24"/>
        </w:rPr>
      </w:pPr>
      <w:r w:rsidRPr="006861C7">
        <w:t xml:space="preserve">FL and VE are supported by a grant of the Kurt </w:t>
      </w:r>
      <w:proofErr w:type="spellStart"/>
      <w:r w:rsidRPr="006861C7">
        <w:t>Eberhard</w:t>
      </w:r>
      <w:proofErr w:type="spellEnd"/>
      <w:r w:rsidRPr="006861C7">
        <w:t xml:space="preserve"> Bode </w:t>
      </w:r>
      <w:r>
        <w:t>Foundation to FL</w:t>
      </w:r>
      <w:r w:rsidRPr="00376CC5">
        <w:rPr>
          <w:szCs w:val="24"/>
        </w:rPr>
        <w:t>.</w:t>
      </w:r>
    </w:p>
    <w:p w14:paraId="0DCB6996" w14:textId="77777777" w:rsidR="00645724" w:rsidRPr="00376CC5" w:rsidRDefault="00645724" w:rsidP="00645724">
      <w:pPr>
        <w:pStyle w:val="berschrift1"/>
      </w:pPr>
      <w:r w:rsidRPr="00376CC5">
        <w:t>Acknowledgments</w:t>
      </w:r>
    </w:p>
    <w:p w14:paraId="261086A6" w14:textId="77777777" w:rsidR="00645724" w:rsidRPr="006861C7" w:rsidRDefault="00645724" w:rsidP="00645724">
      <w:pPr>
        <w:pStyle w:val="KeinLeerraum"/>
      </w:pPr>
      <w:r w:rsidRPr="006861C7">
        <w:t xml:space="preserve">We thank Bianca </w:t>
      </w:r>
      <w:proofErr w:type="spellStart"/>
      <w:r w:rsidRPr="006861C7">
        <w:t>Peinert</w:t>
      </w:r>
      <w:proofErr w:type="spellEnd"/>
      <w:r w:rsidRPr="006861C7">
        <w:t xml:space="preserve"> for her help with primer development, and Edward Wilcox and </w:t>
      </w:r>
      <w:proofErr w:type="spellStart"/>
      <w:r w:rsidRPr="006861C7">
        <w:t>ScienceExchange</w:t>
      </w:r>
      <w:proofErr w:type="spellEnd"/>
      <w:r w:rsidRPr="006861C7">
        <w:t xml:space="preserve"> for </w:t>
      </w:r>
      <w:proofErr w:type="spellStart"/>
      <w:r w:rsidRPr="006861C7">
        <w:t>HiSeq</w:t>
      </w:r>
      <w:proofErr w:type="spellEnd"/>
      <w:r w:rsidRPr="006861C7">
        <w:t xml:space="preserve"> sequencing. We would like to thank Edith </w:t>
      </w:r>
      <w:proofErr w:type="spellStart"/>
      <w:r w:rsidRPr="006861C7">
        <w:t>Vamos</w:t>
      </w:r>
      <w:proofErr w:type="spellEnd"/>
      <w:r w:rsidRPr="006861C7">
        <w:t xml:space="preserve">, Jan </w:t>
      </w:r>
      <w:proofErr w:type="spellStart"/>
      <w:r w:rsidRPr="006861C7">
        <w:t>Macher</w:t>
      </w:r>
      <w:proofErr w:type="spellEnd"/>
      <w:r w:rsidRPr="006861C7">
        <w:t xml:space="preserve"> and Vera </w:t>
      </w:r>
      <w:proofErr w:type="spellStart"/>
      <w:r w:rsidRPr="006861C7">
        <w:t>Zizka</w:t>
      </w:r>
      <w:proofErr w:type="spellEnd"/>
      <w:r w:rsidRPr="006861C7">
        <w:t xml:space="preserve"> for their helpful suggestions that improved this manuscript.</w:t>
      </w:r>
    </w:p>
    <w:p w14:paraId="365B18F7" w14:textId="01CF47FF" w:rsidR="00686C9D" w:rsidRDefault="00686C9D" w:rsidP="00A44A04">
      <w:pPr>
        <w:pStyle w:val="TextBody"/>
        <w:spacing w:line="240" w:lineRule="auto"/>
      </w:pPr>
    </w:p>
    <w:p w14:paraId="4985F7E5" w14:textId="77777777" w:rsidR="00A44A04" w:rsidRDefault="00A44A04" w:rsidP="00A44A04">
      <w:pPr>
        <w:pStyle w:val="TextBody"/>
        <w:spacing w:line="240" w:lineRule="auto"/>
      </w:pPr>
    </w:p>
    <w:p w14:paraId="3AE89F11" w14:textId="77777777" w:rsidR="00A44A04" w:rsidRDefault="00A44A04" w:rsidP="00A44A04">
      <w:pPr>
        <w:pStyle w:val="TextBody"/>
        <w:spacing w:line="240" w:lineRule="auto"/>
      </w:pPr>
    </w:p>
    <w:p w14:paraId="0702CDEB" w14:textId="3452E243" w:rsidR="00A44A04" w:rsidRDefault="00A44A04" w:rsidP="00A44A04">
      <w:pPr>
        <w:pStyle w:val="berschrift1"/>
      </w:pPr>
      <w:r>
        <w:t>References</w:t>
      </w:r>
    </w:p>
    <w:p w14:paraId="56AA348F"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sidRPr="006861C7">
        <w:fldChar w:fldCharType="begin"/>
      </w:r>
      <w:r w:rsidRPr="006861C7">
        <w:instrText xml:space="preserve"> ADDIN PAPERS2_CITATIONS &lt;papers2_bibliography/&gt;</w:instrText>
      </w:r>
      <w:r w:rsidRPr="006861C7">
        <w:fldChar w:fldCharType="separate"/>
      </w:r>
      <w:r>
        <w:rPr>
          <w:rFonts w:eastAsia="SimSun"/>
          <w:lang w:val="de-DE"/>
        </w:rPr>
        <w:t xml:space="preserve">Brandon-Mong, G. J., Gan, H. M., Sing, K. W., Lee, P. S., Lim, P. E., and Wilson, J. J. (2015). DNA metabarcoding of insects and allies: an evaluation of primers and pipelines. </w:t>
      </w:r>
      <w:r>
        <w:rPr>
          <w:rFonts w:eastAsia="SimSun"/>
          <w:i/>
          <w:iCs/>
          <w:lang w:val="de-DE"/>
        </w:rPr>
        <w:t>Bull. Entomol. Res.</w:t>
      </w:r>
      <w:r>
        <w:rPr>
          <w:rFonts w:eastAsia="SimSun"/>
          <w:lang w:val="de-DE"/>
        </w:rPr>
        <w:t xml:space="preserve"> 105, 717–727. doi:10.1017/S0007485315000681.</w:t>
      </w:r>
    </w:p>
    <w:p w14:paraId="5AAF3F1E"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Cameron, S., Rubinoff, D., and Will, K. (2006). Who Will Actually Use DNA Barcoding and What Will It Cost? </w:t>
      </w:r>
      <w:r>
        <w:rPr>
          <w:rFonts w:eastAsia="SimSun"/>
          <w:i/>
          <w:iCs/>
          <w:lang w:val="de-DE"/>
        </w:rPr>
        <w:t>Syst Biol</w:t>
      </w:r>
      <w:r>
        <w:rPr>
          <w:rFonts w:eastAsia="SimSun"/>
          <w:lang w:val="de-DE"/>
        </w:rPr>
        <w:t xml:space="preserve"> 55, 844–847. doi:10.1080/10635150600960079.</w:t>
      </w:r>
    </w:p>
    <w:p w14:paraId="101554B1"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Carew, M. E., Pettigrove, V. J., Metzeling, L., and Hoffmann, A. A. (2013). Environmental monitoring using next generation sequencing: rapid identification of macroinvertebrate bioindicator species. </w:t>
      </w:r>
      <w:r>
        <w:rPr>
          <w:rFonts w:eastAsia="SimSun"/>
          <w:i/>
          <w:iCs/>
          <w:lang w:val="de-DE"/>
        </w:rPr>
        <w:t>Front Zool</w:t>
      </w:r>
      <w:r>
        <w:rPr>
          <w:rFonts w:eastAsia="SimSun"/>
          <w:lang w:val="de-DE"/>
        </w:rPr>
        <w:t xml:space="preserve"> 10, 1–1. doi:10.1186/1742-9994-10-45.</w:t>
      </w:r>
    </w:p>
    <w:p w14:paraId="1D5EC845"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Clarke, L. J., Soubrier, J., Weyrich, L. S., and Cooper, A. (2014). Environmental metabarcodes for insects: in silicoPCR reveals potential for taxonomic bias. </w:t>
      </w:r>
      <w:r>
        <w:rPr>
          <w:rFonts w:eastAsia="SimSun"/>
          <w:i/>
          <w:iCs/>
          <w:lang w:val="de-DE"/>
        </w:rPr>
        <w:t>Mol Ecol Resour</w:t>
      </w:r>
      <w:r>
        <w:rPr>
          <w:rFonts w:eastAsia="SimSun"/>
          <w:lang w:val="de-DE"/>
        </w:rPr>
        <w:t xml:space="preserve"> 14, 1160–1170. doi:10.1111/1755-0998.12265.</w:t>
      </w:r>
    </w:p>
    <w:p w14:paraId="5835BADC"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Deagle, B. E., Jarman, S. N., Coissac, E., Pompanon, F., and Taberlet, P. (2014). DNA metabarcoding and the cytochrome c oxidase subunit I marker: not a perfect match. </w:t>
      </w:r>
      <w:r>
        <w:rPr>
          <w:rFonts w:eastAsia="SimSun"/>
          <w:i/>
          <w:iCs/>
          <w:lang w:val="de-DE"/>
        </w:rPr>
        <w:t>Biol Lett</w:t>
      </w:r>
      <w:r>
        <w:rPr>
          <w:rFonts w:eastAsia="SimSun"/>
          <w:lang w:val="de-DE"/>
        </w:rPr>
        <w:t xml:space="preserve"> 10, 20140562–20140562. doi:10.1098/rsbl.2014.0562.</w:t>
      </w:r>
    </w:p>
    <w:p w14:paraId="204E61D1"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Dowle, E. J., Pochon, X., and Banks, J. C. (2015). Targeted gene enrichment and high</w:t>
      </w:r>
      <w:r>
        <w:rPr>
          <w:rFonts w:ascii="Adobe Caslon Pro Bold Italic" w:eastAsia="SimSun" w:hAnsi="Adobe Caslon Pro Bold Italic" w:cs="Adobe Caslon Pro Bold Italic"/>
          <w:lang w:val="de-DE"/>
        </w:rPr>
        <w:t>‐</w:t>
      </w:r>
      <w:r>
        <w:rPr>
          <w:rFonts w:eastAsia="SimSun"/>
          <w:lang w:val="de-DE"/>
        </w:rPr>
        <w:t xml:space="preserve">throughput sequencing for environmental biomonitoring: a case study using freshwater macroinvertebrates. </w:t>
      </w:r>
      <w:r>
        <w:rPr>
          <w:rFonts w:eastAsia="SimSun"/>
          <w:i/>
          <w:iCs/>
          <w:lang w:val="de-DE"/>
        </w:rPr>
        <w:t>Mol Ecol</w:t>
      </w:r>
      <w:r>
        <w:rPr>
          <w:rFonts w:eastAsia="SimSun"/>
          <w:lang w:val="de-DE"/>
        </w:rPr>
        <w:t>. doi:10.1111/1755-0998.12488.</w:t>
      </w:r>
    </w:p>
    <w:p w14:paraId="7A0B44DF"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lastRenderedPageBreak/>
        <w:t xml:space="preserve">Dudgeon, D., Arthrington, A. H., Gessner, M. O., Kawabata, Z.-I., Knowler, D. J., Lévêque, C., et al. (2005). Freshwater biodiversity: importance, threats, status and conservation challenges. </w:t>
      </w:r>
      <w:r>
        <w:rPr>
          <w:rFonts w:eastAsia="SimSun"/>
          <w:i/>
          <w:iCs/>
          <w:lang w:val="de-DE"/>
        </w:rPr>
        <w:t>Biol. Rev.</w:t>
      </w:r>
      <w:r>
        <w:rPr>
          <w:rFonts w:eastAsia="SimSun"/>
          <w:lang w:val="de-DE"/>
        </w:rPr>
        <w:t xml:space="preserve"> 81, 163. doi:10.1017/S1464793105006950.</w:t>
      </w:r>
    </w:p>
    <w:p w14:paraId="1D5E16D3"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Edgar, R. C. (2013). UPARSE: highly accurate OTU sequences from microbial amplicon reads. </w:t>
      </w:r>
      <w:r>
        <w:rPr>
          <w:rFonts w:eastAsia="SimSun"/>
          <w:i/>
          <w:iCs/>
          <w:lang w:val="de-DE"/>
        </w:rPr>
        <w:t>Nat Methods</w:t>
      </w:r>
      <w:r>
        <w:rPr>
          <w:rFonts w:eastAsia="SimSun"/>
          <w:lang w:val="de-DE"/>
        </w:rPr>
        <w:t xml:space="preserve"> 10, 996–998. doi:10.1038/nmeth.2604.</w:t>
      </w:r>
    </w:p>
    <w:p w14:paraId="3D9E6136"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Edgar, R. C., and Flyvbjerg, H. (2015). Error filtering, pair assembly and error correction for next-generation sequencing reads. </w:t>
      </w:r>
      <w:r>
        <w:rPr>
          <w:rFonts w:eastAsia="SimSun"/>
          <w:i/>
          <w:iCs/>
          <w:lang w:val="de-DE"/>
        </w:rPr>
        <w:t>Bioinformatics</w:t>
      </w:r>
      <w:r>
        <w:rPr>
          <w:rFonts w:eastAsia="SimSun"/>
          <w:lang w:val="de-DE"/>
        </w:rPr>
        <w:t xml:space="preserve"> 31, 3476–3482. doi:10.1093/bioinformatics/btv401.</w:t>
      </w:r>
    </w:p>
    <w:p w14:paraId="0004362E"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Elbrecht, V., and Leese, F. (2015). Can DNA-Based Ecosystem Assessments Quantify Species Abundance? Testing Primer Bias and Biomass—Sequence Relationships with an Innovative Metabarcoding Protocol. </w:t>
      </w:r>
      <w:r>
        <w:rPr>
          <w:rFonts w:eastAsia="SimSun"/>
          <w:i/>
          <w:iCs/>
          <w:lang w:val="de-DE"/>
        </w:rPr>
        <w:t>PLoS ONE</w:t>
      </w:r>
      <w:r>
        <w:rPr>
          <w:rFonts w:eastAsia="SimSun"/>
          <w:lang w:val="de-DE"/>
        </w:rPr>
        <w:t xml:space="preserve"> 10, e0130324–16. doi:10.1371/journal.pone.0130324.</w:t>
      </w:r>
    </w:p>
    <w:p w14:paraId="3C9F22DB"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Elbrecht, V., and Leese, F. (2016). PrimerMiner: an R package for development and in silico validation of DNA metabarcoding primers. </w:t>
      </w:r>
      <w:r>
        <w:rPr>
          <w:rFonts w:eastAsia="SimSun"/>
          <w:i/>
          <w:iCs/>
          <w:lang w:val="de-DE"/>
        </w:rPr>
        <w:t>PeeJ Preprints</w:t>
      </w:r>
      <w:r>
        <w:rPr>
          <w:rFonts w:eastAsia="SimSun"/>
          <w:lang w:val="de-DE"/>
        </w:rPr>
        <w:t>. doi:10.7287/peerj.preprints.2352v1.</w:t>
      </w:r>
    </w:p>
    <w:p w14:paraId="4009027A"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Elbrecht, V., Taberlet, P., Dejean, T., Valentini, A., Usseglio-Polatera, P., Beisel, J.-N., et al. (2016). Testing the potential of a ribosomal 16S marker for DNA metabarcoding of insects. </w:t>
      </w:r>
      <w:r>
        <w:rPr>
          <w:rFonts w:eastAsia="SimSun"/>
          <w:i/>
          <w:iCs/>
          <w:lang w:val="de-DE"/>
        </w:rPr>
        <w:t>PeerJ</w:t>
      </w:r>
      <w:r>
        <w:rPr>
          <w:rFonts w:eastAsia="SimSun"/>
          <w:lang w:val="de-DE"/>
        </w:rPr>
        <w:t xml:space="preserve"> 4, e1966–12. doi:10.7717/peerj.1966.</w:t>
      </w:r>
    </w:p>
    <w:p w14:paraId="34B0DEA2"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Esling, P., Lejzerowicz, F., and Pawlowski, J. (2015). Accurate multiplexing and filtering for high-throughput amplicon-sequencing. </w:t>
      </w:r>
      <w:r>
        <w:rPr>
          <w:rFonts w:eastAsia="SimSun"/>
          <w:i/>
          <w:iCs/>
          <w:lang w:val="de-DE"/>
        </w:rPr>
        <w:t>Nucleic Acids Res</w:t>
      </w:r>
      <w:r>
        <w:rPr>
          <w:rFonts w:eastAsia="SimSun"/>
          <w:lang w:val="de-DE"/>
        </w:rPr>
        <w:t xml:space="preserve"> 43, 2513–2524. doi:10.1093/nar/gkv107.</w:t>
      </w:r>
    </w:p>
    <w:p w14:paraId="0059BE4E"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Folmer, O., Black, M., Hoeh, W., Lutz, R., and Vrijenhoek, R. (1994). DNA primers for amplification of mitochondrial cytochrome c oxidase subunit I from diverse metazoan invertebrates. </w:t>
      </w:r>
      <w:r>
        <w:rPr>
          <w:rFonts w:eastAsia="SimSun"/>
          <w:i/>
          <w:iCs/>
          <w:lang w:val="de-DE"/>
        </w:rPr>
        <w:t>Mol. Marine Biol. Biotechnol.</w:t>
      </w:r>
      <w:r>
        <w:rPr>
          <w:rFonts w:eastAsia="SimSun"/>
          <w:lang w:val="de-DE"/>
        </w:rPr>
        <w:t xml:space="preserve"> 3, 294–299.</w:t>
      </w:r>
    </w:p>
    <w:p w14:paraId="0DE65476"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Geller, J., Meyer, C., Parker, M., and Hawk, H. (2013). Redesign of PCR primers for mitochondrial cytochrome coxidase subunit I for marine invertebrates and application in all-taxa biotic surveys. </w:t>
      </w:r>
      <w:r>
        <w:rPr>
          <w:rFonts w:eastAsia="SimSun"/>
          <w:i/>
          <w:iCs/>
          <w:lang w:val="de-DE"/>
        </w:rPr>
        <w:t>Mol Ecol Resour</w:t>
      </w:r>
      <w:r>
        <w:rPr>
          <w:rFonts w:eastAsia="SimSun"/>
          <w:lang w:val="de-DE"/>
        </w:rPr>
        <w:t xml:space="preserve"> 13, 851–861. doi:10.1111/1755-0998.12138.</w:t>
      </w:r>
    </w:p>
    <w:p w14:paraId="5842E718"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Gibson, J., Shokralla, S., Porter, T. M., King, I., van Konynenburg, S., Janzen, D. H., et al. (2014). Simultaneous assessment of the macrobiome and microbiome in a bulk sample of tropical arthropods through DNA metasystematics. </w:t>
      </w:r>
      <w:r>
        <w:rPr>
          <w:rFonts w:eastAsia="SimSun"/>
          <w:i/>
          <w:iCs/>
          <w:lang w:val="de-DE"/>
        </w:rPr>
        <w:t>Proc Natl Acad Sci</w:t>
      </w:r>
      <w:r>
        <w:rPr>
          <w:rFonts w:eastAsia="SimSun"/>
          <w:lang w:val="de-DE"/>
        </w:rPr>
        <w:t xml:space="preserve"> 111, 8007–8012. doi:10.1073/pnas.1406468111.</w:t>
      </w:r>
    </w:p>
    <w:p w14:paraId="19A85CB8"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Haase, P., Pauls, S. U., Schindehütte, K., and Sundermann, A. (2010). First audit of macroinvertebrate samples from an EU Water Framework Directive monitoring program: human error greatly lowers precision of assessment results. </w:t>
      </w:r>
      <w:r>
        <w:rPr>
          <w:rFonts w:eastAsia="SimSun"/>
          <w:i/>
          <w:iCs/>
          <w:lang w:val="de-DE"/>
        </w:rPr>
        <w:t>J North Am Benthol Soc</w:t>
      </w:r>
      <w:r>
        <w:rPr>
          <w:rFonts w:eastAsia="SimSun"/>
          <w:lang w:val="de-DE"/>
        </w:rPr>
        <w:t xml:space="preserve"> 29, 1279–1291. doi:10.1899/09-183.1.</w:t>
      </w:r>
    </w:p>
    <w:p w14:paraId="6AF9B218"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Hajibabaei, M., Shokralla, S., Zhou, X., Singer, G., and Baird, D. J. (2011). Environmental Barcoding: A Next-Generation Sequencing Approach for Biomonitoring Applications Using River Benthos. </w:t>
      </w:r>
      <w:r>
        <w:rPr>
          <w:rFonts w:eastAsia="SimSun"/>
          <w:i/>
          <w:iCs/>
          <w:lang w:val="de-DE"/>
        </w:rPr>
        <w:t>PLoS ONE</w:t>
      </w:r>
      <w:r>
        <w:rPr>
          <w:rFonts w:eastAsia="SimSun"/>
          <w:lang w:val="de-DE"/>
        </w:rPr>
        <w:t>.</w:t>
      </w:r>
    </w:p>
    <w:p w14:paraId="083225DA"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Hebert, P. D. N., Penton, E. H., Burns, J. M., Janzen, D. H., and Hallwachs, W. (2004). Ten species in one: DNA barcoding reveals cryptic species in the neotropical skipper butterfly Astraptes fulgerator. </w:t>
      </w:r>
      <w:r>
        <w:rPr>
          <w:rFonts w:eastAsia="SimSun"/>
          <w:i/>
          <w:iCs/>
          <w:lang w:val="de-DE"/>
        </w:rPr>
        <w:t>Proc. Natl. Acad. Sci. U.S.A.</w:t>
      </w:r>
      <w:r>
        <w:rPr>
          <w:rFonts w:eastAsia="SimSun"/>
          <w:lang w:val="de-DE"/>
        </w:rPr>
        <w:t xml:space="preserve"> 101, 14812–14817. doi:10.1073/pnas.0406166101.</w:t>
      </w:r>
    </w:p>
    <w:p w14:paraId="06E2DBAA"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lastRenderedPageBreak/>
        <w:t xml:space="preserve">Katoh, K., Misawa, K., Kuma, K.-I., and Miyata, T. (2002). MAFFT: a novel method for rapid multiple sequence alignment based on fast Fourier transform. </w:t>
      </w:r>
      <w:r>
        <w:rPr>
          <w:rFonts w:eastAsia="SimSun"/>
          <w:i/>
          <w:iCs/>
          <w:lang w:val="de-DE"/>
        </w:rPr>
        <w:t>Nucleic Acids Res</w:t>
      </w:r>
      <w:r>
        <w:rPr>
          <w:rFonts w:eastAsia="SimSun"/>
          <w:lang w:val="de-DE"/>
        </w:rPr>
        <w:t xml:space="preserve"> 30, 3059–3066.</w:t>
      </w:r>
    </w:p>
    <w:p w14:paraId="4811B677"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Kearse, M., Moir, R., Wilson, A., Stones-Havas, S., Cheung, M., Sturrock, S., et al. (2012). Geneious Basic: An integrated and extendable desktop software platform for the organization and analysis of sequence data. </w:t>
      </w:r>
      <w:r>
        <w:rPr>
          <w:rFonts w:eastAsia="SimSun"/>
          <w:i/>
          <w:iCs/>
          <w:lang w:val="de-DE"/>
        </w:rPr>
        <w:t>Bioinformatics</w:t>
      </w:r>
      <w:r>
        <w:rPr>
          <w:rFonts w:eastAsia="SimSun"/>
          <w:lang w:val="de-DE"/>
        </w:rPr>
        <w:t xml:space="preserve"> 28, 1647–1649. doi:10.1093/bioinformatics/bts199.</w:t>
      </w:r>
    </w:p>
    <w:p w14:paraId="6A91C56D"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Lange, A., Jost, S., Heider, D., Bock, C., Budeus, B., Schilling, E., et al. (2015). AmpliconDuo: A Split-Sample Filtering Protocol for High-Throughput Amplicon Sequencing of Microbial Communities. </w:t>
      </w:r>
      <w:r>
        <w:rPr>
          <w:rFonts w:eastAsia="SimSun"/>
          <w:i/>
          <w:iCs/>
          <w:lang w:val="de-DE"/>
        </w:rPr>
        <w:t>PLoS ONE</w:t>
      </w:r>
      <w:r>
        <w:rPr>
          <w:rFonts w:eastAsia="SimSun"/>
          <w:lang w:val="de-DE"/>
        </w:rPr>
        <w:t xml:space="preserve"> 10, e0141590–22. doi:10.1371/journal.pone.0141590.</w:t>
      </w:r>
    </w:p>
    <w:p w14:paraId="754FCA66"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Leray, M., and Knowlton, N. (2015). DNA barcoding and metabarcoding of standardized samples reveal patterns of marine benthic diversity. </w:t>
      </w:r>
      <w:r>
        <w:rPr>
          <w:rFonts w:eastAsia="SimSun"/>
          <w:i/>
          <w:iCs/>
          <w:lang w:val="de-DE"/>
        </w:rPr>
        <w:t>Proc. Natl. Acad. Sci. U.S.A.</w:t>
      </w:r>
      <w:r>
        <w:rPr>
          <w:rFonts w:eastAsia="SimSun"/>
          <w:lang w:val="de-DE"/>
        </w:rPr>
        <w:t>, 201424997–6. doi:10.1073/pnas.1424997112.</w:t>
      </w:r>
    </w:p>
    <w:p w14:paraId="1114A92A"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Leray, M., Yang, J. Y., Meyer, C. P., Mills, S. C., Agudelo, N., Ranwez, V., et al. (2013). A new versatile primer set targeting a short fragment of the mitochondrial COI region for metabarcoding metazoan diversity: application for characterizing coral reef fish gut contents. </w:t>
      </w:r>
      <w:r>
        <w:rPr>
          <w:rFonts w:eastAsia="SimSun"/>
          <w:i/>
          <w:iCs/>
          <w:lang w:val="de-DE"/>
        </w:rPr>
        <w:t>Front Zool</w:t>
      </w:r>
      <w:r>
        <w:rPr>
          <w:rFonts w:eastAsia="SimSun"/>
          <w:lang w:val="de-DE"/>
        </w:rPr>
        <w:t xml:space="preserve"> 10, 1–1. doi:10.1186/1742-9994-10-34.</w:t>
      </w:r>
    </w:p>
    <w:p w14:paraId="60AA5858"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Liu, S., Wang, X., Xie, L., Tan, M., Li, Z., Su, X., et al. (2015). Mitochondrial capture enriches mito-DNA 100 fold, enabling PCR-free mitogenomics biodiversity analysis. </w:t>
      </w:r>
      <w:r>
        <w:rPr>
          <w:rFonts w:eastAsia="SimSun"/>
          <w:i/>
          <w:iCs/>
          <w:lang w:val="de-DE"/>
        </w:rPr>
        <w:t>Mol Ecol Resour</w:t>
      </w:r>
      <w:r>
        <w:rPr>
          <w:rFonts w:eastAsia="SimSun"/>
          <w:lang w:val="de-DE"/>
        </w:rPr>
        <w:t>. doi:10.1111/1755-0998.12472.</w:t>
      </w:r>
    </w:p>
    <w:p w14:paraId="020C08A1"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Macher, J. N., Salis, R. K., Blakemore, K. S., Tollrian, R., Matthaei, C. D., and Leese, F. (2015). Multiple-stressor effects on stream invertebrates: DNA barcoding reveals contrasting responses of cryptic mayfly species. </w:t>
      </w:r>
      <w:r>
        <w:rPr>
          <w:rFonts w:eastAsia="SimSun"/>
          <w:i/>
          <w:iCs/>
          <w:lang w:val="de-DE"/>
        </w:rPr>
        <w:t>Ecological Indicators</w:t>
      </w:r>
      <w:r>
        <w:rPr>
          <w:rFonts w:eastAsia="SimSun"/>
          <w:lang w:val="de-DE"/>
        </w:rPr>
        <w:t>, 1–11. doi:10.1016/j.ecolind.2015.08.024.</w:t>
      </w:r>
    </w:p>
    <w:p w14:paraId="22B3C81B"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Meusnier, I., Singer, G. A., Landry, J.-F., Hickey, D. A., Hebert, P. D., and Hajibabaei, M. (2008). A universal DNA mini-barcode for biodiversity analysis. </w:t>
      </w:r>
      <w:r>
        <w:rPr>
          <w:rFonts w:eastAsia="SimSun"/>
          <w:i/>
          <w:iCs/>
          <w:lang w:val="de-DE"/>
        </w:rPr>
        <w:t>BMC Genomics</w:t>
      </w:r>
      <w:r>
        <w:rPr>
          <w:rFonts w:eastAsia="SimSun"/>
          <w:lang w:val="de-DE"/>
        </w:rPr>
        <w:t xml:space="preserve"> 9, 214. doi:10.1186/1471-2164-9-214.</w:t>
      </w:r>
    </w:p>
    <w:p w14:paraId="66106F74"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O’Donnell, J. L., Kelly, R. P., Lowell, N. C., and Port, J. A. (2016). Indexed PCR Primers Induce Template-Specific Bias in Large-Scale DNA Sequencing Studies. </w:t>
      </w:r>
      <w:r>
        <w:rPr>
          <w:rFonts w:eastAsia="SimSun"/>
          <w:i/>
          <w:iCs/>
          <w:lang w:val="de-DE"/>
        </w:rPr>
        <w:t>PLoS ONE</w:t>
      </w:r>
      <w:r>
        <w:rPr>
          <w:rFonts w:eastAsia="SimSun"/>
          <w:lang w:val="de-DE"/>
        </w:rPr>
        <w:t xml:space="preserve"> 11, e0148698–11. doi:10.1371/journal.pone.0148698.</w:t>
      </w:r>
    </w:p>
    <w:p w14:paraId="1F90961A"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Piñol, J., Mir, G., Gomez-Polo, P., and Agustí, N. (2014). Universal and blocking primer mismatches limit the use of high-throughput DNA sequencing for the quantitative metabarcoding of arthropods. </w:t>
      </w:r>
      <w:r>
        <w:rPr>
          <w:rFonts w:eastAsia="SimSun"/>
          <w:i/>
          <w:iCs/>
          <w:lang w:val="de-DE"/>
        </w:rPr>
        <w:t>Mol Ecol Resour</w:t>
      </w:r>
      <w:r>
        <w:rPr>
          <w:rFonts w:eastAsia="SimSun"/>
          <w:lang w:val="de-DE"/>
        </w:rPr>
        <w:t>, 1–12. doi:10.1111/1755-0998.12355.</w:t>
      </w:r>
    </w:p>
    <w:p w14:paraId="08DB1893"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Ratnasingham, S., and Hebert, P. (2007). BOLD: The Barcode of Life Data System (http://www. barcodinglife. org). </w:t>
      </w:r>
      <w:r>
        <w:rPr>
          <w:rFonts w:eastAsia="SimSun"/>
          <w:i/>
          <w:iCs/>
          <w:lang w:val="de-DE"/>
        </w:rPr>
        <w:t>Mol Ecol Notes</w:t>
      </w:r>
      <w:r>
        <w:rPr>
          <w:rFonts w:eastAsia="SimSun"/>
          <w:lang w:val="de-DE"/>
        </w:rPr>
        <w:t xml:space="preserve"> 7, 355–364. doi:10.1111/j.1471-8286.2006.01678.x.</w:t>
      </w:r>
    </w:p>
    <w:p w14:paraId="584A6A8F"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Ratnasingham, S., and Hebert, P. D. N. (2013). A DNA-Based Registry for All Animal Species: The Barcode Index Number (BIN) System. </w:t>
      </w:r>
      <w:r>
        <w:rPr>
          <w:rFonts w:eastAsia="SimSun"/>
          <w:i/>
          <w:iCs/>
          <w:lang w:val="de-DE"/>
        </w:rPr>
        <w:t>PLoS ONE</w:t>
      </w:r>
      <w:r>
        <w:rPr>
          <w:rFonts w:eastAsia="SimSun"/>
          <w:lang w:val="de-DE"/>
        </w:rPr>
        <w:t xml:space="preserve"> 8, e66213–16. doi:10.1371/journal.pone.0066213.</w:t>
      </w:r>
    </w:p>
    <w:p w14:paraId="39E6E1C4"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Schnell, I. B., Bohmann, K., and Gilbert, M. T. P. (2015). Tag jumps illuminated - reducing sequence-to-sample misidentifications in metabarcoding studies. </w:t>
      </w:r>
      <w:r>
        <w:rPr>
          <w:rFonts w:eastAsia="SimSun"/>
          <w:i/>
          <w:iCs/>
          <w:lang w:val="de-DE"/>
        </w:rPr>
        <w:t>Mol Ecol Resour</w:t>
      </w:r>
      <w:r>
        <w:rPr>
          <w:rFonts w:eastAsia="SimSun"/>
          <w:lang w:val="de-DE"/>
        </w:rPr>
        <w:t xml:space="preserve"> 15, 1289–1303. doi:10.1111/1755-0998.12402.</w:t>
      </w:r>
    </w:p>
    <w:p w14:paraId="696FF2AB"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lastRenderedPageBreak/>
        <w:t xml:space="preserve">Sharma, P., and Kobayashi, T. (2014). Are “universal” DNA primers really universal? </w:t>
      </w:r>
      <w:r>
        <w:rPr>
          <w:rFonts w:eastAsia="SimSun"/>
          <w:i/>
          <w:iCs/>
          <w:lang w:val="de-DE"/>
        </w:rPr>
        <w:t>J. Appl. Genet.</w:t>
      </w:r>
      <w:r>
        <w:rPr>
          <w:rFonts w:eastAsia="SimSun"/>
          <w:lang w:val="de-DE"/>
        </w:rPr>
        <w:t xml:space="preserve"> 55, 485–496. doi:10.1007/s13353-014-0218-9.</w:t>
      </w:r>
    </w:p>
    <w:p w14:paraId="06BD7B7E"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Shokralla, S., Porter, T. M., Gibson, J. F., Dobosz, R., Janzen, D. H., Hallwachs, W., et al. (2015). Massively parallel multiplex DNA sequencing for specimen identification using an Illumina MiSeq platform. </w:t>
      </w:r>
      <w:r>
        <w:rPr>
          <w:rFonts w:eastAsia="SimSun"/>
          <w:i/>
          <w:iCs/>
          <w:lang w:val="de-DE"/>
        </w:rPr>
        <w:t>Sci. Rep.</w:t>
      </w:r>
      <w:r>
        <w:rPr>
          <w:rFonts w:eastAsia="SimSun"/>
          <w:lang w:val="de-DE"/>
        </w:rPr>
        <w:t xml:space="preserve"> 5, 9687. doi:10.1038/srep09687.</w:t>
      </w:r>
    </w:p>
    <w:p w14:paraId="2E373D6F"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Shokralla, S., Zhou, X., Janzen, D. H., Hallwachs, W., Landry, J.-F., Jacobus, L. M., et al. (2011). Pyrosequencing for Mini-Barcoding of Fresh and Old Museum Specimens. </w:t>
      </w:r>
      <w:r>
        <w:rPr>
          <w:rFonts w:eastAsia="SimSun"/>
          <w:i/>
          <w:iCs/>
          <w:lang w:val="de-DE"/>
        </w:rPr>
        <w:t>PLoS ONE</w:t>
      </w:r>
      <w:r>
        <w:rPr>
          <w:rFonts w:eastAsia="SimSun"/>
          <w:lang w:val="de-DE"/>
        </w:rPr>
        <w:t xml:space="preserve"> 6, e21252. doi:10.1371/journal.pone.0021252.s002.</w:t>
      </w:r>
    </w:p>
    <w:p w14:paraId="183C88B1"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Stein, E. D., Martinez, M. C., Stiles, S., Miller, P. E., and Zakharov, E. V. (2014). Is DNA Barcoding Actually Cheaper and Faster than Traditional Morphological Methods: Results from a Survey of Freshwater Bioassessment Efforts in the United States? </w:t>
      </w:r>
      <w:r>
        <w:rPr>
          <w:rFonts w:eastAsia="SimSun"/>
          <w:i/>
          <w:iCs/>
          <w:lang w:val="de-DE"/>
        </w:rPr>
        <w:t>PLoS ONE</w:t>
      </w:r>
      <w:r>
        <w:rPr>
          <w:rFonts w:eastAsia="SimSun"/>
          <w:lang w:val="de-DE"/>
        </w:rPr>
        <w:t xml:space="preserve"> 9, e95525. doi:10.1371/journal.pone.0095525.t005.</w:t>
      </w:r>
    </w:p>
    <w:p w14:paraId="6554BF12"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Stein, E. D., White, B. P., Mazor, R. D., Jackson, J. K., and Battle, J. M. (2013). Does DNA barcoding improve performance of traditional stream bioassessment metrics? </w:t>
      </w:r>
      <w:r>
        <w:rPr>
          <w:rFonts w:eastAsia="SimSun"/>
          <w:i/>
          <w:iCs/>
          <w:lang w:val="de-DE"/>
        </w:rPr>
        <w:t>Freshw Sci</w:t>
      </w:r>
      <w:r>
        <w:rPr>
          <w:rFonts w:eastAsia="SimSun"/>
          <w:lang w:val="de-DE"/>
        </w:rPr>
        <w:t xml:space="preserve"> 33, 302–311. doi:10.1086/674782.</w:t>
      </w:r>
    </w:p>
    <w:p w14:paraId="7F330E65"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Sweeney, B. W., Battle, J. M., Jackson, J. K., and Dapkey, T. (2011). Can DNA barcodes of stream macroinvertebrates improve descriptions of community structure and water quality? </w:t>
      </w:r>
      <w:r>
        <w:rPr>
          <w:rFonts w:eastAsia="SimSun"/>
          <w:i/>
          <w:iCs/>
          <w:lang w:val="de-DE"/>
        </w:rPr>
        <w:t>J North Am Benthol Soc</w:t>
      </w:r>
      <w:r>
        <w:rPr>
          <w:rFonts w:eastAsia="SimSun"/>
          <w:lang w:val="de-DE"/>
        </w:rPr>
        <w:t xml:space="preserve"> 30, 195–216. doi:10.1899/10-016.1.</w:t>
      </w:r>
    </w:p>
    <w:p w14:paraId="64BC385E"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Taberlet, P., Coissac, E., Hajibabaei, M., and Rieseberg, L. H. (2012). Environmental DNA. </w:t>
      </w:r>
      <w:r>
        <w:rPr>
          <w:rFonts w:eastAsia="SimSun"/>
          <w:i/>
          <w:iCs/>
          <w:lang w:val="de-DE"/>
        </w:rPr>
        <w:t>Mol Ecol</w:t>
      </w:r>
      <w:r>
        <w:rPr>
          <w:rFonts w:eastAsia="SimSun"/>
          <w:lang w:val="de-DE"/>
        </w:rPr>
        <w:t xml:space="preserve"> 21, 1789–1793. doi:10.1111/j.1365-294X.2012.05542.x.</w:t>
      </w:r>
    </w:p>
    <w:p w14:paraId="23CB5BC5"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Van Houdt, J. K. J., Breman, F. C., Virgilio, M., and De Meyer, M. (2010). Recovering full DNA barcodes from natural history collections of Tephritid fruitflies (Tephritidae, Diptera) using mini barcodes. </w:t>
      </w:r>
      <w:r>
        <w:rPr>
          <w:rFonts w:eastAsia="SimSun"/>
          <w:i/>
          <w:iCs/>
          <w:lang w:val="de-DE"/>
        </w:rPr>
        <w:t>Mol Ecol Resour</w:t>
      </w:r>
      <w:r>
        <w:rPr>
          <w:rFonts w:eastAsia="SimSun"/>
          <w:lang w:val="de-DE"/>
        </w:rPr>
        <w:t xml:space="preserve"> 10, 459–465. doi:10.1111/j.1755-0998.2009.02800.x.</w:t>
      </w:r>
    </w:p>
    <w:p w14:paraId="4B8C6471"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Vörösmarty, C. J., McIntyre, P. B., Gessner, M. O., Dudgeon, D., Prusevich, A., Green, P., et al. (2010). Global threats to human water security and river biodiversity. </w:t>
      </w:r>
      <w:r>
        <w:rPr>
          <w:rFonts w:eastAsia="SimSun"/>
          <w:i/>
          <w:iCs/>
          <w:lang w:val="de-DE"/>
        </w:rPr>
        <w:t>Nature</w:t>
      </w:r>
      <w:r>
        <w:rPr>
          <w:rFonts w:eastAsia="SimSun"/>
          <w:lang w:val="de-DE"/>
        </w:rPr>
        <w:t xml:space="preserve"> 467, 555–561. doi:10.1038/nature09440.</w:t>
      </w:r>
    </w:p>
    <w:p w14:paraId="63F60EA7" w14:textId="77777777" w:rsid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eastAsia="SimSun"/>
          <w:lang w:val="de-DE"/>
        </w:rPr>
      </w:pPr>
      <w:r>
        <w:rPr>
          <w:rFonts w:eastAsia="SimSun"/>
          <w:lang w:val="de-DE"/>
        </w:rPr>
        <w:t xml:space="preserve">Zeale, M. R. K., Butlin, R. K., Barker, G. L. A., Lees, D. C., and Jones, G. (2010). Taxon-specific PCR for DNA barcoding arthropod prey in bat faeces. </w:t>
      </w:r>
      <w:r>
        <w:rPr>
          <w:rFonts w:eastAsia="SimSun"/>
          <w:i/>
          <w:iCs/>
          <w:lang w:val="de-DE"/>
        </w:rPr>
        <w:t>Mol Ecol Resour</w:t>
      </w:r>
      <w:r>
        <w:rPr>
          <w:rFonts w:eastAsia="SimSun"/>
          <w:lang w:val="de-DE"/>
        </w:rPr>
        <w:t xml:space="preserve"> 11, 236–244. doi:10.1111/j.1755-0998.2010.02920.x.</w:t>
      </w:r>
    </w:p>
    <w:p w14:paraId="6ABEED78" w14:textId="6286E62A" w:rsidR="00A44A04" w:rsidRPr="00A44A04" w:rsidRDefault="00A44A04" w:rsidP="00A44A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pPr>
      <w:r w:rsidRPr="006861C7">
        <w:fldChar w:fldCharType="end"/>
      </w:r>
    </w:p>
    <w:sectPr w:rsidR="00A44A04" w:rsidRPr="00A44A04" w:rsidSect="00D537FA">
      <w:headerReference w:type="even" r:id="rId12"/>
      <w:headerReference w:type="default" r:id="rId13"/>
      <w:footerReference w:type="even" r:id="rId14"/>
      <w:footerReference w:type="default" r:id="rId15"/>
      <w:headerReference w:type="first" r:id="rId16"/>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156E0" w14:textId="77777777" w:rsidR="006C2562" w:rsidRDefault="006C2562" w:rsidP="00117666">
      <w:pPr>
        <w:spacing w:after="0"/>
      </w:pPr>
      <w:r>
        <w:separator/>
      </w:r>
    </w:p>
  </w:endnote>
  <w:endnote w:type="continuationSeparator" w:id="0">
    <w:p w14:paraId="5DD8E06B" w14:textId="77777777" w:rsidR="006C2562" w:rsidRDefault="006C256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imSun">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imes New Roman Greek">
    <w:altName w:val="Times New Roma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Adobe Caslon Pro Bold Italic">
    <w:panose1 w:val="0205070206050B090A03"/>
    <w:charset w:val="00"/>
    <w:family w:val="auto"/>
    <w:pitch w:val="variable"/>
    <w:sig w:usb0="00000007" w:usb1="00000001" w:usb2="00000000" w:usb3="00000000" w:csb0="00000093"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A475F" w14:textId="77777777" w:rsidR="006C2562" w:rsidRPr="00577C4C" w:rsidRDefault="006C2562">
    <w:pPr>
      <w:pStyle w:val="Fuzeile"/>
      <w:rPr>
        <w:color w:val="C00000"/>
        <w:szCs w:val="24"/>
      </w:rPr>
    </w:pPr>
    <w:r w:rsidRPr="00577C4C">
      <w:rPr>
        <w:noProof/>
        <w:color w:val="C00000"/>
        <w:szCs w:val="24"/>
        <w:lang w:val="de-DE" w:eastAsia="de-DE"/>
      </w:rPr>
      <mc:AlternateContent>
        <mc:Choice Requires="wps">
          <w:drawing>
            <wp:anchor distT="0" distB="0" distL="114300" distR="114300" simplePos="0" relativeHeight="251683840" behindDoc="0" locked="0" layoutInCell="1" allowOverlap="1" wp14:anchorId="347E858A" wp14:editId="74D5D659">
              <wp:simplePos x="0" y="0"/>
              <wp:positionH relativeFrom="column">
                <wp:posOffset>-108280</wp:posOffset>
              </wp:positionH>
              <wp:positionV relativeFrom="paragraph">
                <wp:posOffset>-58420</wp:posOffset>
              </wp:positionV>
              <wp:extent cx="3672205" cy="504190"/>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504190"/>
                      </a:xfrm>
                      <a:prstGeom prst="rect">
                        <a:avLst/>
                      </a:prstGeom>
                      <a:solidFill>
                        <a:srgbClr val="FFFFFF"/>
                      </a:solidFill>
                      <a:ln w="9525">
                        <a:noFill/>
                        <a:miter lim="800000"/>
                        <a:headEnd/>
                        <a:tailEnd/>
                      </a:ln>
                    </wps:spPr>
                    <wps:txbx>
                      <w:txbxContent>
                        <w:p w14:paraId="547D5E8C" w14:textId="77777777" w:rsidR="006C2562" w:rsidRPr="00E9561B" w:rsidRDefault="006C2562">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8.5pt;margin-top:-4.55pt;width:289.15pt;height:39.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" stroked="f">
              <v:textbox style="mso-fit-shape-to-text:t">
                <w:txbxContent>
                  <w:p w14:paraId="547D5E8C" w14:textId="77777777" w:rsidR="006C2562" w:rsidRPr="00E9561B" w:rsidRDefault="006C2562">
                    <w:pPr>
                      <w:rPr>
                        <w:color w:val="C00000"/>
                      </w:rPr>
                    </w:pPr>
                    <w:r w:rsidRPr="00E9561B">
                      <w:rPr>
                        <w:color w:val="C00000"/>
                      </w:rPr>
                      <w:t>This is a provisional file, not the final typeset article</w:t>
                    </w:r>
                  </w:p>
                </w:txbxContent>
              </v:textbox>
            </v:shape>
          </w:pict>
        </mc:Fallback>
      </mc:AlternateContent>
    </w:r>
    <w:r>
      <w:rPr>
        <w:noProof/>
        <w:lang w:val="de-DE" w:eastAsia="de-DE"/>
      </w:rPr>
      <mc:AlternateContent>
        <mc:Choice Requires="wps">
          <w:drawing>
            <wp:anchor distT="0" distB="0" distL="114300" distR="114300" simplePos="0" relativeHeight="251665408" behindDoc="0" locked="0" layoutInCell="1" allowOverlap="1" wp14:anchorId="4A8CFEA8" wp14:editId="1E124348">
              <wp:simplePos x="0" y="0"/>
              <wp:positionH relativeFrom="margin">
                <wp:align>right</wp:align>
              </wp:positionH>
              <wp:positionV relativeFrom="bottomMargin">
                <wp:align>top</wp:align>
              </wp:positionV>
              <wp:extent cx="1508760" cy="3346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04D7FE85" w14:textId="77777777" w:rsidR="006C2562" w:rsidRPr="00577C4C" w:rsidRDefault="006C2562">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A288C" w:rsidRPr="008A288C">
                            <w:rPr>
                              <w:noProof/>
                              <w:color w:val="000000" w:themeColor="text1"/>
                              <w:sz w:val="22"/>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67.6pt;margin-top:0;width:118.8pt;height:26.3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" filled="f" stroked="f" strokeweight=".5pt">
              <v:textbox style="mso-fit-shape-to-text:t">
                <w:txbxContent>
                  <w:p w14:paraId="04D7FE85" w14:textId="77777777" w:rsidR="006C2562" w:rsidRPr="00577C4C" w:rsidRDefault="006C2562">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121B0" w:rsidRPr="003121B0">
                      <w:rPr>
                        <w:noProof/>
                        <w:color w:val="000000" w:themeColor="text1"/>
                        <w:sz w:val="22"/>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1C4E7" w14:textId="77777777" w:rsidR="006C2562" w:rsidRPr="00577C4C" w:rsidRDefault="006C2562">
    <w:pPr>
      <w:pStyle w:val="Fuzeile"/>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3DABE93D" wp14:editId="071F98F6">
              <wp:simplePos x="0" y="0"/>
              <wp:positionH relativeFrom="margin">
                <wp:align>right</wp:align>
              </wp:positionH>
              <wp:positionV relativeFrom="bottomMargin">
                <wp:align>top</wp:align>
              </wp:positionV>
              <wp:extent cx="1508760" cy="3346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13758F04" w14:textId="77777777" w:rsidR="006C2562" w:rsidRPr="00577C4C" w:rsidRDefault="006C2562">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A288C" w:rsidRPr="008A288C">
                            <w:rPr>
                              <w:noProof/>
                              <w:color w:val="000000" w:themeColor="text1"/>
                              <w:sz w:val="22"/>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6" o:spid="_x0000_s1028" type="#_x0000_t202" style="position:absolute;margin-left:67.6pt;margin-top:0;width:118.8pt;height:26.3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" filled="f" stroked="f" strokeweight=".5pt">
              <v:textbox style="mso-fit-shape-to-text:t">
                <w:txbxContent>
                  <w:p w14:paraId="13758F04" w14:textId="77777777" w:rsidR="006C2562" w:rsidRPr="00577C4C" w:rsidRDefault="006C2562">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121B0" w:rsidRPr="003121B0">
                      <w:rPr>
                        <w:noProof/>
                        <w:color w:val="000000" w:themeColor="text1"/>
                        <w:sz w:val="22"/>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BD921" w14:textId="77777777" w:rsidR="006C2562" w:rsidRDefault="006C2562" w:rsidP="00117666">
      <w:pPr>
        <w:spacing w:after="0"/>
      </w:pPr>
      <w:r>
        <w:separator/>
      </w:r>
    </w:p>
  </w:footnote>
  <w:footnote w:type="continuationSeparator" w:id="0">
    <w:p w14:paraId="7850F809" w14:textId="77777777" w:rsidR="006C2562" w:rsidRDefault="006C2562"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E0AB0" w14:textId="77777777" w:rsidR="006C2562" w:rsidRPr="007E3148" w:rsidRDefault="006C2562" w:rsidP="00787B83">
    <w:pPr>
      <w:pStyle w:val="Kopfzeile"/>
      <w:jc w:val="right"/>
    </w:pPr>
    <w:r>
      <w:t xml:space="preserve">Freshwater primer development and evaluation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081B6" w14:textId="77777777" w:rsidR="006C2562" w:rsidRPr="00A53000" w:rsidRDefault="006C2562" w:rsidP="00A53000">
    <w:pPr>
      <w:pStyle w:val="Kopfzeile"/>
    </w:pPr>
    <w:r w:rsidRPr="007E3148">
      <w:ptab w:relativeTo="margin" w:alignment="center" w:leader="none"/>
    </w:r>
    <w:r w:rsidRPr="007E3148">
      <w:ptab w:relativeTo="margin" w:alignment="right" w:leader="none"/>
    </w:r>
    <w:r w:rsidRPr="00A53000">
      <w:t>Running Title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59C80" w14:textId="6C312937" w:rsidR="006C2562" w:rsidRDefault="006C2562" w:rsidP="00A53000">
    <w:pPr>
      <w:pStyle w:val="Kopfzeile"/>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EC0601A"/>
    <w:multiLevelType w:val="multilevel"/>
    <w:tmpl w:val="C6A8CCEA"/>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02A7CAC"/>
    <w:multiLevelType w:val="multilevel"/>
    <w:tmpl w:val="C6A8CCEA"/>
    <w:numStyleLink w:val="Headings"/>
  </w:abstractNum>
  <w:abstractNum w:abstractNumId="6">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BC6F29"/>
    <w:multiLevelType w:val="multilevel"/>
    <w:tmpl w:val="C6A8CCEA"/>
    <w:numStyleLink w:val="Headings"/>
  </w:abstractNum>
  <w:abstractNum w:abstractNumId="17">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berschrift1"/>
        <w:lvlText w:val="%1"/>
        <w:lvlJc w:val="left"/>
        <w:pPr>
          <w:tabs>
            <w:tab w:val="num" w:pos="567"/>
          </w:tabs>
          <w:ind w:left="567" w:hanging="567"/>
        </w:pPr>
        <w:rPr>
          <w:rFonts w:hint="default"/>
        </w:rPr>
      </w:lvl>
    </w:lvlOverride>
    <w:lvlOverride w:ilvl="1">
      <w:lvl w:ilvl="1">
        <w:start w:val="1"/>
        <w:numFmt w:val="decimal"/>
        <w:pStyle w:val="berschrift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B83"/>
    <w:rsid w:val="00034304"/>
    <w:rsid w:val="00035434"/>
    <w:rsid w:val="00045678"/>
    <w:rsid w:val="000458E4"/>
    <w:rsid w:val="00063D84"/>
    <w:rsid w:val="0006636D"/>
    <w:rsid w:val="00077D53"/>
    <w:rsid w:val="00081394"/>
    <w:rsid w:val="000B34BD"/>
    <w:rsid w:val="000C7E2A"/>
    <w:rsid w:val="000F4CFB"/>
    <w:rsid w:val="00117666"/>
    <w:rsid w:val="001223A7"/>
    <w:rsid w:val="00134256"/>
    <w:rsid w:val="00147395"/>
    <w:rsid w:val="001552C9"/>
    <w:rsid w:val="00177D84"/>
    <w:rsid w:val="001964EF"/>
    <w:rsid w:val="001B1A2C"/>
    <w:rsid w:val="001B6F38"/>
    <w:rsid w:val="001D5C23"/>
    <w:rsid w:val="001F4C07"/>
    <w:rsid w:val="00220AEA"/>
    <w:rsid w:val="00226954"/>
    <w:rsid w:val="002629A3"/>
    <w:rsid w:val="00265660"/>
    <w:rsid w:val="00267D18"/>
    <w:rsid w:val="00272B2B"/>
    <w:rsid w:val="002868E2"/>
    <w:rsid w:val="002869C3"/>
    <w:rsid w:val="002936E4"/>
    <w:rsid w:val="00296B88"/>
    <w:rsid w:val="002C74CA"/>
    <w:rsid w:val="002F744D"/>
    <w:rsid w:val="00303DE6"/>
    <w:rsid w:val="00310124"/>
    <w:rsid w:val="003121B0"/>
    <w:rsid w:val="003504D5"/>
    <w:rsid w:val="003544FB"/>
    <w:rsid w:val="00365D63"/>
    <w:rsid w:val="0036793B"/>
    <w:rsid w:val="00372682"/>
    <w:rsid w:val="00376CC5"/>
    <w:rsid w:val="0039693B"/>
    <w:rsid w:val="003D2F2D"/>
    <w:rsid w:val="00401590"/>
    <w:rsid w:val="004055D9"/>
    <w:rsid w:val="00463E3D"/>
    <w:rsid w:val="004645AE"/>
    <w:rsid w:val="00485CCA"/>
    <w:rsid w:val="004D3E33"/>
    <w:rsid w:val="005250F2"/>
    <w:rsid w:val="005A1D84"/>
    <w:rsid w:val="005A70EA"/>
    <w:rsid w:val="005C3963"/>
    <w:rsid w:val="005D1840"/>
    <w:rsid w:val="005D35E4"/>
    <w:rsid w:val="005D7910"/>
    <w:rsid w:val="00613502"/>
    <w:rsid w:val="0062154F"/>
    <w:rsid w:val="00631A8C"/>
    <w:rsid w:val="00645724"/>
    <w:rsid w:val="00651CA2"/>
    <w:rsid w:val="00653D60"/>
    <w:rsid w:val="00660D05"/>
    <w:rsid w:val="00671D9A"/>
    <w:rsid w:val="00673952"/>
    <w:rsid w:val="00686C9D"/>
    <w:rsid w:val="006B2D5B"/>
    <w:rsid w:val="006B7D14"/>
    <w:rsid w:val="006C2562"/>
    <w:rsid w:val="006D5B93"/>
    <w:rsid w:val="00725A7D"/>
    <w:rsid w:val="0073085C"/>
    <w:rsid w:val="00746505"/>
    <w:rsid w:val="00787B83"/>
    <w:rsid w:val="00790BB3"/>
    <w:rsid w:val="00792043"/>
    <w:rsid w:val="00797EDD"/>
    <w:rsid w:val="007B0322"/>
    <w:rsid w:val="007C0E3F"/>
    <w:rsid w:val="007C206C"/>
    <w:rsid w:val="007C5729"/>
    <w:rsid w:val="007F66E2"/>
    <w:rsid w:val="008111E4"/>
    <w:rsid w:val="0081301C"/>
    <w:rsid w:val="008144CE"/>
    <w:rsid w:val="00817DD6"/>
    <w:rsid w:val="008629A9"/>
    <w:rsid w:val="00893C19"/>
    <w:rsid w:val="008A288C"/>
    <w:rsid w:val="008B6E16"/>
    <w:rsid w:val="008D6C8D"/>
    <w:rsid w:val="008E2B54"/>
    <w:rsid w:val="008E4404"/>
    <w:rsid w:val="008E58C7"/>
    <w:rsid w:val="008F5021"/>
    <w:rsid w:val="00937FCB"/>
    <w:rsid w:val="00943573"/>
    <w:rsid w:val="00971B61"/>
    <w:rsid w:val="00980C31"/>
    <w:rsid w:val="009955FF"/>
    <w:rsid w:val="009D259D"/>
    <w:rsid w:val="00A2250D"/>
    <w:rsid w:val="00A44A04"/>
    <w:rsid w:val="00A50D9D"/>
    <w:rsid w:val="00A53000"/>
    <w:rsid w:val="00A545C6"/>
    <w:rsid w:val="00A75F87"/>
    <w:rsid w:val="00A95D8B"/>
    <w:rsid w:val="00AC0270"/>
    <w:rsid w:val="00AC3EA3"/>
    <w:rsid w:val="00AC792D"/>
    <w:rsid w:val="00B657B8"/>
    <w:rsid w:val="00B84920"/>
    <w:rsid w:val="00B8556A"/>
    <w:rsid w:val="00C012A3"/>
    <w:rsid w:val="00C52A7B"/>
    <w:rsid w:val="00C5328C"/>
    <w:rsid w:val="00C6324C"/>
    <w:rsid w:val="00C679AA"/>
    <w:rsid w:val="00C724CF"/>
    <w:rsid w:val="00C75972"/>
    <w:rsid w:val="00C82792"/>
    <w:rsid w:val="00C948FD"/>
    <w:rsid w:val="00CB43D5"/>
    <w:rsid w:val="00CC1397"/>
    <w:rsid w:val="00CC76F9"/>
    <w:rsid w:val="00CD066B"/>
    <w:rsid w:val="00CD46E2"/>
    <w:rsid w:val="00D00D0B"/>
    <w:rsid w:val="00D04B69"/>
    <w:rsid w:val="00D537FA"/>
    <w:rsid w:val="00D80D99"/>
    <w:rsid w:val="00D9503C"/>
    <w:rsid w:val="00DB41E2"/>
    <w:rsid w:val="00DD73EF"/>
    <w:rsid w:val="00DE23E8"/>
    <w:rsid w:val="00E0128B"/>
    <w:rsid w:val="00E361A3"/>
    <w:rsid w:val="00E64E17"/>
    <w:rsid w:val="00EA3D3C"/>
    <w:rsid w:val="00EC7CC3"/>
    <w:rsid w:val="00F24E9D"/>
    <w:rsid w:val="00F46494"/>
    <w:rsid w:val="00F558AB"/>
    <w:rsid w:val="00F61D89"/>
    <w:rsid w:val="00F86ABB"/>
    <w:rsid w:val="00FD7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C1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0D99"/>
    <w:pPr>
      <w:spacing w:before="120" w:after="240" w:line="240" w:lineRule="auto"/>
    </w:pPr>
    <w:rPr>
      <w:rFonts w:ascii="Times New Roman" w:hAnsi="Times New Roman"/>
      <w:sz w:val="24"/>
    </w:rPr>
  </w:style>
  <w:style w:type="paragraph" w:styleId="berschrift1">
    <w:name w:val="heading 1"/>
    <w:basedOn w:val="Listenabsatz"/>
    <w:next w:val="Standard"/>
    <w:link w:val="berschrift1Zeichen"/>
    <w:uiPriority w:val="2"/>
    <w:qFormat/>
    <w:rsid w:val="00D80D99"/>
    <w:pPr>
      <w:numPr>
        <w:numId w:val="17"/>
      </w:numPr>
      <w:spacing w:before="240"/>
      <w:contextualSpacing w:val="0"/>
      <w:outlineLvl w:val="0"/>
    </w:pPr>
    <w:rPr>
      <w:b/>
    </w:rPr>
  </w:style>
  <w:style w:type="paragraph" w:styleId="berschrift2">
    <w:name w:val="heading 2"/>
    <w:basedOn w:val="berschrift1"/>
    <w:next w:val="Standard"/>
    <w:link w:val="berschrift2Zeichen"/>
    <w:uiPriority w:val="2"/>
    <w:qFormat/>
    <w:rsid w:val="00D80D99"/>
    <w:pPr>
      <w:numPr>
        <w:ilvl w:val="1"/>
      </w:numPr>
      <w:spacing w:after="200"/>
      <w:outlineLvl w:val="1"/>
    </w:pPr>
  </w:style>
  <w:style w:type="paragraph" w:styleId="berschrift3">
    <w:name w:val="heading 3"/>
    <w:basedOn w:val="Standard"/>
    <w:next w:val="Standard"/>
    <w:link w:val="berschrift3Zeichen"/>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berschrift4">
    <w:name w:val="heading 4"/>
    <w:basedOn w:val="berschrift3"/>
    <w:next w:val="Standard"/>
    <w:link w:val="berschrift4Zeichen"/>
    <w:uiPriority w:val="2"/>
    <w:qFormat/>
    <w:rsid w:val="00D80D99"/>
    <w:pPr>
      <w:numPr>
        <w:ilvl w:val="3"/>
      </w:numPr>
      <w:outlineLvl w:val="3"/>
    </w:pPr>
    <w:rPr>
      <w:iCs/>
    </w:rPr>
  </w:style>
  <w:style w:type="paragraph" w:styleId="berschrift5">
    <w:name w:val="heading 5"/>
    <w:basedOn w:val="berschrift4"/>
    <w:next w:val="Standard"/>
    <w:link w:val="berschrift5Zeichen"/>
    <w:uiPriority w:val="2"/>
    <w:qFormat/>
    <w:rsid w:val="00D80D99"/>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2"/>
    <w:rsid w:val="00147395"/>
    <w:rPr>
      <w:rFonts w:ascii="Times New Roman" w:eastAsia="Cambria" w:hAnsi="Times New Roman" w:cs="Times New Roman"/>
      <w:b/>
      <w:sz w:val="24"/>
      <w:szCs w:val="24"/>
    </w:rPr>
  </w:style>
  <w:style w:type="character" w:customStyle="1" w:styleId="berschrift2Zeichen">
    <w:name w:val="Überschrift 2 Zeichen"/>
    <w:basedOn w:val="Absatzstandardschriftart"/>
    <w:link w:val="berschrift2"/>
    <w:uiPriority w:val="2"/>
    <w:rsid w:val="00147395"/>
    <w:rPr>
      <w:rFonts w:ascii="Times New Roman" w:eastAsia="Cambria" w:hAnsi="Times New Roman" w:cs="Times New Roman"/>
      <w:b/>
      <w:sz w:val="24"/>
      <w:szCs w:val="24"/>
    </w:rPr>
  </w:style>
  <w:style w:type="character" w:styleId="Herausstellen">
    <w:name w:val="Emphasis"/>
    <w:basedOn w:val="Absatzstandardschriftart"/>
    <w:uiPriority w:val="20"/>
    <w:qFormat/>
    <w:rsid w:val="00C724CF"/>
    <w:rPr>
      <w:rFonts w:ascii="Times New Roman" w:hAnsi="Times New Roman"/>
      <w:i/>
      <w:iCs/>
    </w:rPr>
  </w:style>
  <w:style w:type="paragraph" w:styleId="Listenabsatz">
    <w:name w:val="List Paragraph"/>
    <w:basedOn w:val="Standard"/>
    <w:uiPriority w:val="3"/>
    <w:qFormat/>
    <w:rsid w:val="00310124"/>
    <w:pPr>
      <w:numPr>
        <w:numId w:val="14"/>
      </w:numPr>
      <w:ind w:left="1434" w:hanging="357"/>
      <w:contextualSpacing/>
    </w:pPr>
    <w:rPr>
      <w:rFonts w:eastAsia="Cambria" w:cs="Times New Roman"/>
      <w:szCs w:val="24"/>
    </w:rPr>
  </w:style>
  <w:style w:type="character" w:styleId="Betont">
    <w:name w:val="Strong"/>
    <w:basedOn w:val="Absatzstandardschriftart"/>
    <w:uiPriority w:val="22"/>
    <w:qFormat/>
    <w:rsid w:val="00C724CF"/>
    <w:rPr>
      <w:rFonts w:ascii="Times New Roman" w:hAnsi="Times New Roman"/>
      <w:b/>
      <w:bCs/>
    </w:rPr>
  </w:style>
  <w:style w:type="paragraph" w:styleId="StandardWeb">
    <w:name w:val="Normal (Web)"/>
    <w:basedOn w:val="Standard"/>
    <w:uiPriority w:val="99"/>
    <w:unhideWhenUsed/>
    <w:rsid w:val="00117666"/>
    <w:pPr>
      <w:spacing w:before="100" w:beforeAutospacing="1" w:after="100" w:afterAutospacing="1"/>
    </w:pPr>
    <w:rPr>
      <w:rFonts w:eastAsia="Times New Roman" w:cs="Times New Roman"/>
      <w:szCs w:val="24"/>
    </w:rPr>
  </w:style>
  <w:style w:type="paragraph" w:styleId="Kopfzeile">
    <w:name w:val="header"/>
    <w:basedOn w:val="Standard"/>
    <w:link w:val="KopfzeileZeichen"/>
    <w:uiPriority w:val="99"/>
    <w:unhideWhenUsed/>
    <w:rsid w:val="00A53000"/>
    <w:pPr>
      <w:tabs>
        <w:tab w:val="center" w:pos="4844"/>
        <w:tab w:val="right" w:pos="9689"/>
      </w:tabs>
    </w:pPr>
    <w:rPr>
      <w:b/>
    </w:rPr>
  </w:style>
  <w:style w:type="character" w:customStyle="1" w:styleId="KopfzeileZeichen">
    <w:name w:val="Kopfzeile Zeichen"/>
    <w:basedOn w:val="Absatzstandardschriftart"/>
    <w:link w:val="Kopfzeile"/>
    <w:uiPriority w:val="99"/>
    <w:rsid w:val="00A53000"/>
    <w:rPr>
      <w:rFonts w:ascii="Times New Roman" w:hAnsi="Times New Roman"/>
      <w:b/>
      <w:sz w:val="24"/>
    </w:rPr>
  </w:style>
  <w:style w:type="paragraph" w:styleId="Fuzeile">
    <w:name w:val="footer"/>
    <w:basedOn w:val="Standard"/>
    <w:link w:val="FuzeileZeichen"/>
    <w:uiPriority w:val="99"/>
    <w:unhideWhenUsed/>
    <w:rsid w:val="00117666"/>
    <w:pPr>
      <w:tabs>
        <w:tab w:val="center" w:pos="4844"/>
        <w:tab w:val="right" w:pos="9689"/>
      </w:tabs>
      <w:spacing w:after="0"/>
    </w:pPr>
  </w:style>
  <w:style w:type="character" w:customStyle="1" w:styleId="FuzeileZeichen">
    <w:name w:val="Fußzeile Zeichen"/>
    <w:basedOn w:val="Absatzstandardschriftart"/>
    <w:link w:val="Fuzeile"/>
    <w:uiPriority w:val="99"/>
    <w:rsid w:val="00117666"/>
  </w:style>
  <w:style w:type="table" w:styleId="Tabellenraster">
    <w:name w:val="Table Grid"/>
    <w:basedOn w:val="NormaleTabelle"/>
    <w:uiPriority w:val="59"/>
    <w:rsid w:val="00117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semiHidden/>
    <w:unhideWhenUsed/>
    <w:rsid w:val="00117666"/>
    <w:pPr>
      <w:spacing w:after="0"/>
    </w:pPr>
    <w:rPr>
      <w:sz w:val="20"/>
      <w:szCs w:val="20"/>
    </w:rPr>
  </w:style>
  <w:style w:type="character" w:customStyle="1" w:styleId="FunotentextZeichen">
    <w:name w:val="Fußnotentext Zeichen"/>
    <w:basedOn w:val="Absatzstandardschriftart"/>
    <w:link w:val="Funotentext"/>
    <w:uiPriority w:val="99"/>
    <w:semiHidden/>
    <w:rsid w:val="00117666"/>
    <w:rPr>
      <w:sz w:val="20"/>
      <w:szCs w:val="20"/>
    </w:rPr>
  </w:style>
  <w:style w:type="character" w:styleId="Funotenzeichen">
    <w:name w:val="footnote reference"/>
    <w:basedOn w:val="Absatzstandardschriftart"/>
    <w:uiPriority w:val="99"/>
    <w:semiHidden/>
    <w:unhideWhenUsed/>
    <w:rsid w:val="00117666"/>
    <w:rPr>
      <w:vertAlign w:val="superscript"/>
    </w:rPr>
  </w:style>
  <w:style w:type="paragraph" w:styleId="Beschriftung">
    <w:name w:val="caption"/>
    <w:basedOn w:val="Standard"/>
    <w:next w:val="KeinLeerraum"/>
    <w:uiPriority w:val="35"/>
    <w:unhideWhenUsed/>
    <w:qFormat/>
    <w:rsid w:val="00A53000"/>
    <w:pPr>
      <w:keepNext/>
    </w:pPr>
    <w:rPr>
      <w:rFonts w:cs="Times New Roman"/>
      <w:b/>
      <w:bCs/>
      <w:szCs w:val="24"/>
    </w:rPr>
  </w:style>
  <w:style w:type="paragraph" w:styleId="Sprechblasentext">
    <w:name w:val="Balloon Text"/>
    <w:basedOn w:val="Standard"/>
    <w:link w:val="SprechblasentextZeichen"/>
    <w:uiPriority w:val="99"/>
    <w:semiHidden/>
    <w:unhideWhenUsed/>
    <w:rsid w:val="00117666"/>
    <w:pPr>
      <w:spacing w:after="0"/>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17666"/>
    <w:rPr>
      <w:rFonts w:ascii="Tahoma" w:hAnsi="Tahoma" w:cs="Tahoma"/>
      <w:sz w:val="16"/>
      <w:szCs w:val="16"/>
    </w:rPr>
  </w:style>
  <w:style w:type="character" w:styleId="Zeilennummer">
    <w:name w:val="line number"/>
    <w:basedOn w:val="Absatzstandardschriftart"/>
    <w:uiPriority w:val="99"/>
    <w:semiHidden/>
    <w:unhideWhenUsed/>
    <w:rsid w:val="00117666"/>
  </w:style>
  <w:style w:type="paragraph" w:styleId="Endnotentext">
    <w:name w:val="endnote text"/>
    <w:basedOn w:val="Standard"/>
    <w:link w:val="EndnotentextZeichen"/>
    <w:uiPriority w:val="99"/>
    <w:semiHidden/>
    <w:unhideWhenUsed/>
    <w:rsid w:val="00CD066B"/>
    <w:pPr>
      <w:spacing w:after="0"/>
    </w:pPr>
    <w:rPr>
      <w:sz w:val="20"/>
      <w:szCs w:val="20"/>
    </w:rPr>
  </w:style>
  <w:style w:type="character" w:customStyle="1" w:styleId="EndnotentextZeichen">
    <w:name w:val="Endnotentext Zeichen"/>
    <w:basedOn w:val="Absatzstandardschriftart"/>
    <w:link w:val="Endnotentext"/>
    <w:uiPriority w:val="99"/>
    <w:semiHidden/>
    <w:rsid w:val="00CD066B"/>
    <w:rPr>
      <w:sz w:val="20"/>
      <w:szCs w:val="20"/>
    </w:rPr>
  </w:style>
  <w:style w:type="character" w:styleId="Endnotenzeichen">
    <w:name w:val="endnote reference"/>
    <w:basedOn w:val="Absatzstandardschriftart"/>
    <w:uiPriority w:val="99"/>
    <w:semiHidden/>
    <w:unhideWhenUsed/>
    <w:rsid w:val="00CD066B"/>
    <w:rPr>
      <w:vertAlign w:val="superscript"/>
    </w:rPr>
  </w:style>
  <w:style w:type="character" w:styleId="Kommentarzeichen">
    <w:name w:val="annotation reference"/>
    <w:basedOn w:val="Absatzstandardschriftart"/>
    <w:uiPriority w:val="99"/>
    <w:semiHidden/>
    <w:unhideWhenUsed/>
    <w:rsid w:val="00725A7D"/>
    <w:rPr>
      <w:sz w:val="16"/>
      <w:szCs w:val="16"/>
    </w:rPr>
  </w:style>
  <w:style w:type="paragraph" w:styleId="Kommentartext">
    <w:name w:val="annotation text"/>
    <w:basedOn w:val="Standard"/>
    <w:link w:val="KommentartextZeichen"/>
    <w:uiPriority w:val="99"/>
    <w:semiHidden/>
    <w:unhideWhenUsed/>
    <w:rsid w:val="00725A7D"/>
    <w:rPr>
      <w:sz w:val="20"/>
      <w:szCs w:val="20"/>
    </w:rPr>
  </w:style>
  <w:style w:type="character" w:customStyle="1" w:styleId="KommentartextZeichen">
    <w:name w:val="Kommentartext Zeichen"/>
    <w:basedOn w:val="Absatzstandardschriftart"/>
    <w:link w:val="Kommentartext"/>
    <w:uiPriority w:val="99"/>
    <w:semiHidden/>
    <w:rsid w:val="00725A7D"/>
    <w:rPr>
      <w:sz w:val="20"/>
      <w:szCs w:val="20"/>
    </w:rPr>
  </w:style>
  <w:style w:type="paragraph" w:styleId="Kommentarthema">
    <w:name w:val="annotation subject"/>
    <w:basedOn w:val="Kommentartext"/>
    <w:next w:val="Kommentartext"/>
    <w:link w:val="KommentarthemaZeichen"/>
    <w:uiPriority w:val="99"/>
    <w:semiHidden/>
    <w:unhideWhenUsed/>
    <w:rsid w:val="00725A7D"/>
    <w:rPr>
      <w:b/>
      <w:bCs/>
    </w:rPr>
  </w:style>
  <w:style w:type="character" w:customStyle="1" w:styleId="KommentarthemaZeichen">
    <w:name w:val="Kommentarthema Zeichen"/>
    <w:basedOn w:val="KommentartextZeichen"/>
    <w:link w:val="Kommentarthema"/>
    <w:uiPriority w:val="99"/>
    <w:semiHidden/>
    <w:rsid w:val="00725A7D"/>
    <w:rPr>
      <w:b/>
      <w:bCs/>
      <w:sz w:val="20"/>
      <w:szCs w:val="20"/>
    </w:rPr>
  </w:style>
  <w:style w:type="character" w:styleId="Link">
    <w:name w:val="Hyperlink"/>
    <w:basedOn w:val="Absatzstandardschriftart"/>
    <w:uiPriority w:val="99"/>
    <w:unhideWhenUsed/>
    <w:rsid w:val="005A1D84"/>
    <w:rPr>
      <w:color w:val="0000FF"/>
      <w:u w:val="single"/>
    </w:rPr>
  </w:style>
  <w:style w:type="character" w:styleId="GesichteterLink">
    <w:name w:val="FollowedHyperlink"/>
    <w:basedOn w:val="Absatzstandardschriftart"/>
    <w:uiPriority w:val="99"/>
    <w:semiHidden/>
    <w:unhideWhenUsed/>
    <w:rsid w:val="006D5B93"/>
    <w:rPr>
      <w:color w:val="800080" w:themeColor="followedHyperlink"/>
      <w:u w:val="single"/>
    </w:rPr>
  </w:style>
  <w:style w:type="paragraph" w:styleId="Titel">
    <w:name w:val="Title"/>
    <w:basedOn w:val="Standard"/>
    <w:next w:val="Standard"/>
    <w:link w:val="TitelZeichen"/>
    <w:qFormat/>
    <w:rsid w:val="00D80D99"/>
    <w:pPr>
      <w:suppressLineNumbers/>
      <w:spacing w:before="240" w:after="360"/>
      <w:jc w:val="center"/>
    </w:pPr>
    <w:rPr>
      <w:rFonts w:cs="Times New Roman"/>
      <w:b/>
      <w:sz w:val="32"/>
      <w:szCs w:val="32"/>
    </w:rPr>
  </w:style>
  <w:style w:type="character" w:customStyle="1" w:styleId="TitelZeichen">
    <w:name w:val="Titel Zeichen"/>
    <w:basedOn w:val="Absatzstandardschriftart"/>
    <w:link w:val="Titel"/>
    <w:rsid w:val="00D80D99"/>
    <w:rPr>
      <w:rFonts w:ascii="Times New Roman" w:hAnsi="Times New Roman" w:cs="Times New Roman"/>
      <w:b/>
      <w:sz w:val="32"/>
      <w:szCs w:val="32"/>
    </w:rPr>
  </w:style>
  <w:style w:type="paragraph" w:styleId="Untertitel">
    <w:name w:val="Subtitle"/>
    <w:basedOn w:val="Standard"/>
    <w:next w:val="Standard"/>
    <w:link w:val="UntertitelZeichen"/>
    <w:uiPriority w:val="99"/>
    <w:unhideWhenUsed/>
    <w:qFormat/>
    <w:rsid w:val="00AC0270"/>
    <w:pPr>
      <w:spacing w:before="240"/>
    </w:pPr>
    <w:rPr>
      <w:rFonts w:cs="Times New Roman"/>
      <w:b/>
      <w:szCs w:val="24"/>
    </w:rPr>
  </w:style>
  <w:style w:type="character" w:customStyle="1" w:styleId="UntertitelZeichen">
    <w:name w:val="Untertitel Zeichen"/>
    <w:basedOn w:val="Absatzstandardschriftart"/>
    <w:link w:val="Untertitel"/>
    <w:uiPriority w:val="99"/>
    <w:rsid w:val="00651CA2"/>
    <w:rPr>
      <w:rFonts w:ascii="Times New Roman" w:hAnsi="Times New Roman" w:cs="Times New Roman"/>
      <w:b/>
      <w:sz w:val="24"/>
      <w:szCs w:val="24"/>
    </w:rPr>
  </w:style>
  <w:style w:type="character" w:customStyle="1" w:styleId="berschrift3Zeichen">
    <w:name w:val="Überschrift 3 Zeichen"/>
    <w:basedOn w:val="Absatzstandardschriftart"/>
    <w:link w:val="berschrift3"/>
    <w:uiPriority w:val="2"/>
    <w:rsid w:val="005D1840"/>
    <w:rPr>
      <w:rFonts w:ascii="Times New Roman" w:eastAsiaTheme="majorEastAsia" w:hAnsi="Times New Roman" w:cstheme="majorBidi"/>
      <w:b/>
      <w:sz w:val="24"/>
      <w:szCs w:val="24"/>
    </w:rPr>
  </w:style>
  <w:style w:type="paragraph" w:styleId="KeinLeerraum">
    <w:name w:val="No Spacing"/>
    <w:uiPriority w:val="1"/>
    <w:unhideWhenUsed/>
    <w:qFormat/>
    <w:rsid w:val="00A53000"/>
    <w:pPr>
      <w:spacing w:after="0" w:line="240" w:lineRule="auto"/>
    </w:pPr>
    <w:rPr>
      <w:rFonts w:ascii="Times New Roman" w:hAnsi="Times New Roman"/>
      <w:sz w:val="24"/>
    </w:rPr>
  </w:style>
  <w:style w:type="character" w:customStyle="1" w:styleId="berschrift4Zeichen">
    <w:name w:val="Überschrift 4 Zeichen"/>
    <w:basedOn w:val="Absatzstandardschriftart"/>
    <w:link w:val="berschrift4"/>
    <w:uiPriority w:val="2"/>
    <w:rsid w:val="005D1840"/>
    <w:rPr>
      <w:rFonts w:ascii="Times New Roman" w:eastAsiaTheme="majorEastAsia" w:hAnsi="Times New Roman" w:cstheme="majorBidi"/>
      <w:b/>
      <w:iCs/>
      <w:sz w:val="24"/>
      <w:szCs w:val="24"/>
    </w:rPr>
  </w:style>
  <w:style w:type="character" w:customStyle="1" w:styleId="berschrift5Zeichen">
    <w:name w:val="Überschrift 5 Zeichen"/>
    <w:basedOn w:val="Absatzstandardschriftart"/>
    <w:link w:val="berschrift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Untertitel"/>
    <w:next w:val="Standard"/>
    <w:uiPriority w:val="1"/>
    <w:qFormat/>
    <w:rsid w:val="00651CA2"/>
  </w:style>
  <w:style w:type="character" w:styleId="SchwacheHervorhebung">
    <w:name w:val="Subtle Emphasis"/>
    <w:basedOn w:val="Absatzstandardschriftart"/>
    <w:uiPriority w:val="19"/>
    <w:qFormat/>
    <w:rsid w:val="00C724CF"/>
    <w:rPr>
      <w:rFonts w:ascii="Times New Roman" w:hAnsi="Times New Roman"/>
      <w:i/>
      <w:iCs/>
      <w:color w:val="404040" w:themeColor="text1" w:themeTint="BF"/>
    </w:rPr>
  </w:style>
  <w:style w:type="character" w:styleId="IntensiveHervorhebung">
    <w:name w:val="Intense Emphasis"/>
    <w:basedOn w:val="Absatzstandardschriftart"/>
    <w:uiPriority w:val="21"/>
    <w:unhideWhenUsed/>
    <w:rsid w:val="00C724CF"/>
    <w:rPr>
      <w:rFonts w:ascii="Times New Roman" w:hAnsi="Times New Roman"/>
      <w:i/>
      <w:iCs/>
      <w:color w:val="auto"/>
    </w:rPr>
  </w:style>
  <w:style w:type="paragraph" w:styleId="Anfhrungszeichen">
    <w:name w:val="Quote"/>
    <w:basedOn w:val="Standard"/>
    <w:next w:val="Standard"/>
    <w:link w:val="AnfhrungszeichenZeichen"/>
    <w:uiPriority w:val="29"/>
    <w:qFormat/>
    <w:rsid w:val="00C724CF"/>
    <w:pPr>
      <w:spacing w:before="200" w:after="160"/>
      <w:ind w:left="864" w:right="864"/>
      <w:jc w:val="center"/>
    </w:pPr>
    <w:rPr>
      <w:i/>
      <w:iCs/>
      <w:color w:val="404040" w:themeColor="text1" w:themeTint="BF"/>
    </w:rPr>
  </w:style>
  <w:style w:type="character" w:customStyle="1" w:styleId="AnfhrungszeichenZeichen">
    <w:name w:val="Anführungszeichen Zeichen"/>
    <w:basedOn w:val="Absatzstandardschriftart"/>
    <w:link w:val="Anfhrungszeichen"/>
    <w:uiPriority w:val="29"/>
    <w:rsid w:val="00C724CF"/>
    <w:rPr>
      <w:rFonts w:ascii="Times New Roman" w:hAnsi="Times New Roman"/>
      <w:i/>
      <w:iCs/>
      <w:color w:val="404040" w:themeColor="text1" w:themeTint="BF"/>
      <w:sz w:val="24"/>
    </w:rPr>
  </w:style>
  <w:style w:type="character" w:styleId="IntensiverVerweis">
    <w:name w:val="Intense Reference"/>
    <w:basedOn w:val="Absatzstandardschriftart"/>
    <w:uiPriority w:val="32"/>
    <w:qFormat/>
    <w:rsid w:val="00C724CF"/>
    <w:rPr>
      <w:b/>
      <w:bCs/>
      <w:smallCaps/>
      <w:color w:val="auto"/>
      <w:spacing w:val="5"/>
    </w:rPr>
  </w:style>
  <w:style w:type="character" w:styleId="Buchtitel">
    <w:name w:val="Book Title"/>
    <w:basedOn w:val="Absatzstandardschriftar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Bearbeitung">
    <w:name w:val="Revision"/>
    <w:hidden/>
    <w:uiPriority w:val="99"/>
    <w:semiHidden/>
    <w:rsid w:val="00A545C6"/>
    <w:pPr>
      <w:spacing w:after="0" w:line="240" w:lineRule="auto"/>
    </w:pPr>
    <w:rPr>
      <w:rFonts w:ascii="Times New Roman" w:hAnsi="Times New Roman"/>
      <w:sz w:val="24"/>
    </w:rPr>
  </w:style>
  <w:style w:type="paragraph" w:customStyle="1" w:styleId="LO-normal">
    <w:name w:val="LO-normal"/>
    <w:rsid w:val="00DB41E2"/>
    <w:pPr>
      <w:tabs>
        <w:tab w:val="left" w:pos="720"/>
      </w:tabs>
      <w:suppressAutoHyphens/>
      <w:spacing w:after="0"/>
    </w:pPr>
    <w:rPr>
      <w:rFonts w:ascii="Times New Roman" w:eastAsia="Times New Roman" w:hAnsi="Times New Roman" w:cs="Times New Roman"/>
      <w:sz w:val="20"/>
      <w:szCs w:val="20"/>
      <w:lang w:eastAsia="zh-CN"/>
    </w:rPr>
  </w:style>
  <w:style w:type="paragraph" w:customStyle="1" w:styleId="TextBody">
    <w:name w:val="Text Body"/>
    <w:basedOn w:val="Standard"/>
    <w:rsid w:val="00DB41E2"/>
    <w:pPr>
      <w:widowControl w:val="0"/>
      <w:suppressAutoHyphens/>
      <w:spacing w:before="0" w:after="120" w:line="288" w:lineRule="auto"/>
    </w:pPr>
    <w:rPr>
      <w:rFonts w:eastAsia="Times New Roman" w:cs="Times New Roman"/>
      <w:sz w:val="20"/>
      <w:szCs w:val="20"/>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0D99"/>
    <w:pPr>
      <w:spacing w:before="120" w:after="240" w:line="240" w:lineRule="auto"/>
    </w:pPr>
    <w:rPr>
      <w:rFonts w:ascii="Times New Roman" w:hAnsi="Times New Roman"/>
      <w:sz w:val="24"/>
    </w:rPr>
  </w:style>
  <w:style w:type="paragraph" w:styleId="berschrift1">
    <w:name w:val="heading 1"/>
    <w:basedOn w:val="Listenabsatz"/>
    <w:next w:val="Standard"/>
    <w:link w:val="berschrift1Zeichen"/>
    <w:uiPriority w:val="2"/>
    <w:qFormat/>
    <w:rsid w:val="00D80D99"/>
    <w:pPr>
      <w:numPr>
        <w:numId w:val="17"/>
      </w:numPr>
      <w:spacing w:before="240"/>
      <w:contextualSpacing w:val="0"/>
      <w:outlineLvl w:val="0"/>
    </w:pPr>
    <w:rPr>
      <w:b/>
    </w:rPr>
  </w:style>
  <w:style w:type="paragraph" w:styleId="berschrift2">
    <w:name w:val="heading 2"/>
    <w:basedOn w:val="berschrift1"/>
    <w:next w:val="Standard"/>
    <w:link w:val="berschrift2Zeichen"/>
    <w:uiPriority w:val="2"/>
    <w:qFormat/>
    <w:rsid w:val="00D80D99"/>
    <w:pPr>
      <w:numPr>
        <w:ilvl w:val="1"/>
      </w:numPr>
      <w:spacing w:after="200"/>
      <w:outlineLvl w:val="1"/>
    </w:pPr>
  </w:style>
  <w:style w:type="paragraph" w:styleId="berschrift3">
    <w:name w:val="heading 3"/>
    <w:basedOn w:val="Standard"/>
    <w:next w:val="Standard"/>
    <w:link w:val="berschrift3Zeichen"/>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berschrift4">
    <w:name w:val="heading 4"/>
    <w:basedOn w:val="berschrift3"/>
    <w:next w:val="Standard"/>
    <w:link w:val="berschrift4Zeichen"/>
    <w:uiPriority w:val="2"/>
    <w:qFormat/>
    <w:rsid w:val="00D80D99"/>
    <w:pPr>
      <w:numPr>
        <w:ilvl w:val="3"/>
      </w:numPr>
      <w:outlineLvl w:val="3"/>
    </w:pPr>
    <w:rPr>
      <w:iCs/>
    </w:rPr>
  </w:style>
  <w:style w:type="paragraph" w:styleId="berschrift5">
    <w:name w:val="heading 5"/>
    <w:basedOn w:val="berschrift4"/>
    <w:next w:val="Standard"/>
    <w:link w:val="berschrift5Zeichen"/>
    <w:uiPriority w:val="2"/>
    <w:qFormat/>
    <w:rsid w:val="00D80D99"/>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2"/>
    <w:rsid w:val="00147395"/>
    <w:rPr>
      <w:rFonts w:ascii="Times New Roman" w:eastAsia="Cambria" w:hAnsi="Times New Roman" w:cs="Times New Roman"/>
      <w:b/>
      <w:sz w:val="24"/>
      <w:szCs w:val="24"/>
    </w:rPr>
  </w:style>
  <w:style w:type="character" w:customStyle="1" w:styleId="berschrift2Zeichen">
    <w:name w:val="Überschrift 2 Zeichen"/>
    <w:basedOn w:val="Absatzstandardschriftart"/>
    <w:link w:val="berschrift2"/>
    <w:uiPriority w:val="2"/>
    <w:rsid w:val="00147395"/>
    <w:rPr>
      <w:rFonts w:ascii="Times New Roman" w:eastAsia="Cambria" w:hAnsi="Times New Roman" w:cs="Times New Roman"/>
      <w:b/>
      <w:sz w:val="24"/>
      <w:szCs w:val="24"/>
    </w:rPr>
  </w:style>
  <w:style w:type="character" w:styleId="Herausstellen">
    <w:name w:val="Emphasis"/>
    <w:basedOn w:val="Absatzstandardschriftart"/>
    <w:uiPriority w:val="20"/>
    <w:qFormat/>
    <w:rsid w:val="00C724CF"/>
    <w:rPr>
      <w:rFonts w:ascii="Times New Roman" w:hAnsi="Times New Roman"/>
      <w:i/>
      <w:iCs/>
    </w:rPr>
  </w:style>
  <w:style w:type="paragraph" w:styleId="Listenabsatz">
    <w:name w:val="List Paragraph"/>
    <w:basedOn w:val="Standard"/>
    <w:uiPriority w:val="3"/>
    <w:qFormat/>
    <w:rsid w:val="00310124"/>
    <w:pPr>
      <w:numPr>
        <w:numId w:val="14"/>
      </w:numPr>
      <w:ind w:left="1434" w:hanging="357"/>
      <w:contextualSpacing/>
    </w:pPr>
    <w:rPr>
      <w:rFonts w:eastAsia="Cambria" w:cs="Times New Roman"/>
      <w:szCs w:val="24"/>
    </w:rPr>
  </w:style>
  <w:style w:type="character" w:styleId="Betont">
    <w:name w:val="Strong"/>
    <w:basedOn w:val="Absatzstandardschriftart"/>
    <w:uiPriority w:val="22"/>
    <w:qFormat/>
    <w:rsid w:val="00C724CF"/>
    <w:rPr>
      <w:rFonts w:ascii="Times New Roman" w:hAnsi="Times New Roman"/>
      <w:b/>
      <w:bCs/>
    </w:rPr>
  </w:style>
  <w:style w:type="paragraph" w:styleId="StandardWeb">
    <w:name w:val="Normal (Web)"/>
    <w:basedOn w:val="Standard"/>
    <w:uiPriority w:val="99"/>
    <w:unhideWhenUsed/>
    <w:rsid w:val="00117666"/>
    <w:pPr>
      <w:spacing w:before="100" w:beforeAutospacing="1" w:after="100" w:afterAutospacing="1"/>
    </w:pPr>
    <w:rPr>
      <w:rFonts w:eastAsia="Times New Roman" w:cs="Times New Roman"/>
      <w:szCs w:val="24"/>
    </w:rPr>
  </w:style>
  <w:style w:type="paragraph" w:styleId="Kopfzeile">
    <w:name w:val="header"/>
    <w:basedOn w:val="Standard"/>
    <w:link w:val="KopfzeileZeichen"/>
    <w:uiPriority w:val="99"/>
    <w:unhideWhenUsed/>
    <w:rsid w:val="00A53000"/>
    <w:pPr>
      <w:tabs>
        <w:tab w:val="center" w:pos="4844"/>
        <w:tab w:val="right" w:pos="9689"/>
      </w:tabs>
    </w:pPr>
    <w:rPr>
      <w:b/>
    </w:rPr>
  </w:style>
  <w:style w:type="character" w:customStyle="1" w:styleId="KopfzeileZeichen">
    <w:name w:val="Kopfzeile Zeichen"/>
    <w:basedOn w:val="Absatzstandardschriftart"/>
    <w:link w:val="Kopfzeile"/>
    <w:uiPriority w:val="99"/>
    <w:rsid w:val="00A53000"/>
    <w:rPr>
      <w:rFonts w:ascii="Times New Roman" w:hAnsi="Times New Roman"/>
      <w:b/>
      <w:sz w:val="24"/>
    </w:rPr>
  </w:style>
  <w:style w:type="paragraph" w:styleId="Fuzeile">
    <w:name w:val="footer"/>
    <w:basedOn w:val="Standard"/>
    <w:link w:val="FuzeileZeichen"/>
    <w:uiPriority w:val="99"/>
    <w:unhideWhenUsed/>
    <w:rsid w:val="00117666"/>
    <w:pPr>
      <w:tabs>
        <w:tab w:val="center" w:pos="4844"/>
        <w:tab w:val="right" w:pos="9689"/>
      </w:tabs>
      <w:spacing w:after="0"/>
    </w:pPr>
  </w:style>
  <w:style w:type="character" w:customStyle="1" w:styleId="FuzeileZeichen">
    <w:name w:val="Fußzeile Zeichen"/>
    <w:basedOn w:val="Absatzstandardschriftart"/>
    <w:link w:val="Fuzeile"/>
    <w:uiPriority w:val="99"/>
    <w:rsid w:val="00117666"/>
  </w:style>
  <w:style w:type="table" w:styleId="Tabellenraster">
    <w:name w:val="Table Grid"/>
    <w:basedOn w:val="NormaleTabelle"/>
    <w:uiPriority w:val="59"/>
    <w:rsid w:val="00117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semiHidden/>
    <w:unhideWhenUsed/>
    <w:rsid w:val="00117666"/>
    <w:pPr>
      <w:spacing w:after="0"/>
    </w:pPr>
    <w:rPr>
      <w:sz w:val="20"/>
      <w:szCs w:val="20"/>
    </w:rPr>
  </w:style>
  <w:style w:type="character" w:customStyle="1" w:styleId="FunotentextZeichen">
    <w:name w:val="Fußnotentext Zeichen"/>
    <w:basedOn w:val="Absatzstandardschriftart"/>
    <w:link w:val="Funotentext"/>
    <w:uiPriority w:val="99"/>
    <w:semiHidden/>
    <w:rsid w:val="00117666"/>
    <w:rPr>
      <w:sz w:val="20"/>
      <w:szCs w:val="20"/>
    </w:rPr>
  </w:style>
  <w:style w:type="character" w:styleId="Funotenzeichen">
    <w:name w:val="footnote reference"/>
    <w:basedOn w:val="Absatzstandardschriftart"/>
    <w:uiPriority w:val="99"/>
    <w:semiHidden/>
    <w:unhideWhenUsed/>
    <w:rsid w:val="00117666"/>
    <w:rPr>
      <w:vertAlign w:val="superscript"/>
    </w:rPr>
  </w:style>
  <w:style w:type="paragraph" w:styleId="Beschriftung">
    <w:name w:val="caption"/>
    <w:basedOn w:val="Standard"/>
    <w:next w:val="KeinLeerraum"/>
    <w:uiPriority w:val="35"/>
    <w:unhideWhenUsed/>
    <w:qFormat/>
    <w:rsid w:val="00A53000"/>
    <w:pPr>
      <w:keepNext/>
    </w:pPr>
    <w:rPr>
      <w:rFonts w:cs="Times New Roman"/>
      <w:b/>
      <w:bCs/>
      <w:szCs w:val="24"/>
    </w:rPr>
  </w:style>
  <w:style w:type="paragraph" w:styleId="Sprechblasentext">
    <w:name w:val="Balloon Text"/>
    <w:basedOn w:val="Standard"/>
    <w:link w:val="SprechblasentextZeichen"/>
    <w:uiPriority w:val="99"/>
    <w:semiHidden/>
    <w:unhideWhenUsed/>
    <w:rsid w:val="00117666"/>
    <w:pPr>
      <w:spacing w:after="0"/>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17666"/>
    <w:rPr>
      <w:rFonts w:ascii="Tahoma" w:hAnsi="Tahoma" w:cs="Tahoma"/>
      <w:sz w:val="16"/>
      <w:szCs w:val="16"/>
    </w:rPr>
  </w:style>
  <w:style w:type="character" w:styleId="Zeilennummer">
    <w:name w:val="line number"/>
    <w:basedOn w:val="Absatzstandardschriftart"/>
    <w:uiPriority w:val="99"/>
    <w:semiHidden/>
    <w:unhideWhenUsed/>
    <w:rsid w:val="00117666"/>
  </w:style>
  <w:style w:type="paragraph" w:styleId="Endnotentext">
    <w:name w:val="endnote text"/>
    <w:basedOn w:val="Standard"/>
    <w:link w:val="EndnotentextZeichen"/>
    <w:uiPriority w:val="99"/>
    <w:semiHidden/>
    <w:unhideWhenUsed/>
    <w:rsid w:val="00CD066B"/>
    <w:pPr>
      <w:spacing w:after="0"/>
    </w:pPr>
    <w:rPr>
      <w:sz w:val="20"/>
      <w:szCs w:val="20"/>
    </w:rPr>
  </w:style>
  <w:style w:type="character" w:customStyle="1" w:styleId="EndnotentextZeichen">
    <w:name w:val="Endnotentext Zeichen"/>
    <w:basedOn w:val="Absatzstandardschriftart"/>
    <w:link w:val="Endnotentext"/>
    <w:uiPriority w:val="99"/>
    <w:semiHidden/>
    <w:rsid w:val="00CD066B"/>
    <w:rPr>
      <w:sz w:val="20"/>
      <w:szCs w:val="20"/>
    </w:rPr>
  </w:style>
  <w:style w:type="character" w:styleId="Endnotenzeichen">
    <w:name w:val="endnote reference"/>
    <w:basedOn w:val="Absatzstandardschriftart"/>
    <w:uiPriority w:val="99"/>
    <w:semiHidden/>
    <w:unhideWhenUsed/>
    <w:rsid w:val="00CD066B"/>
    <w:rPr>
      <w:vertAlign w:val="superscript"/>
    </w:rPr>
  </w:style>
  <w:style w:type="character" w:styleId="Kommentarzeichen">
    <w:name w:val="annotation reference"/>
    <w:basedOn w:val="Absatzstandardschriftart"/>
    <w:uiPriority w:val="99"/>
    <w:semiHidden/>
    <w:unhideWhenUsed/>
    <w:rsid w:val="00725A7D"/>
    <w:rPr>
      <w:sz w:val="16"/>
      <w:szCs w:val="16"/>
    </w:rPr>
  </w:style>
  <w:style w:type="paragraph" w:styleId="Kommentartext">
    <w:name w:val="annotation text"/>
    <w:basedOn w:val="Standard"/>
    <w:link w:val="KommentartextZeichen"/>
    <w:uiPriority w:val="99"/>
    <w:semiHidden/>
    <w:unhideWhenUsed/>
    <w:rsid w:val="00725A7D"/>
    <w:rPr>
      <w:sz w:val="20"/>
      <w:szCs w:val="20"/>
    </w:rPr>
  </w:style>
  <w:style w:type="character" w:customStyle="1" w:styleId="KommentartextZeichen">
    <w:name w:val="Kommentartext Zeichen"/>
    <w:basedOn w:val="Absatzstandardschriftart"/>
    <w:link w:val="Kommentartext"/>
    <w:uiPriority w:val="99"/>
    <w:semiHidden/>
    <w:rsid w:val="00725A7D"/>
    <w:rPr>
      <w:sz w:val="20"/>
      <w:szCs w:val="20"/>
    </w:rPr>
  </w:style>
  <w:style w:type="paragraph" w:styleId="Kommentarthema">
    <w:name w:val="annotation subject"/>
    <w:basedOn w:val="Kommentartext"/>
    <w:next w:val="Kommentartext"/>
    <w:link w:val="KommentarthemaZeichen"/>
    <w:uiPriority w:val="99"/>
    <w:semiHidden/>
    <w:unhideWhenUsed/>
    <w:rsid w:val="00725A7D"/>
    <w:rPr>
      <w:b/>
      <w:bCs/>
    </w:rPr>
  </w:style>
  <w:style w:type="character" w:customStyle="1" w:styleId="KommentarthemaZeichen">
    <w:name w:val="Kommentarthema Zeichen"/>
    <w:basedOn w:val="KommentartextZeichen"/>
    <w:link w:val="Kommentarthema"/>
    <w:uiPriority w:val="99"/>
    <w:semiHidden/>
    <w:rsid w:val="00725A7D"/>
    <w:rPr>
      <w:b/>
      <w:bCs/>
      <w:sz w:val="20"/>
      <w:szCs w:val="20"/>
    </w:rPr>
  </w:style>
  <w:style w:type="character" w:styleId="Link">
    <w:name w:val="Hyperlink"/>
    <w:basedOn w:val="Absatzstandardschriftart"/>
    <w:uiPriority w:val="99"/>
    <w:unhideWhenUsed/>
    <w:rsid w:val="005A1D84"/>
    <w:rPr>
      <w:color w:val="0000FF"/>
      <w:u w:val="single"/>
    </w:rPr>
  </w:style>
  <w:style w:type="character" w:styleId="GesichteterLink">
    <w:name w:val="FollowedHyperlink"/>
    <w:basedOn w:val="Absatzstandardschriftart"/>
    <w:uiPriority w:val="99"/>
    <w:semiHidden/>
    <w:unhideWhenUsed/>
    <w:rsid w:val="006D5B93"/>
    <w:rPr>
      <w:color w:val="800080" w:themeColor="followedHyperlink"/>
      <w:u w:val="single"/>
    </w:rPr>
  </w:style>
  <w:style w:type="paragraph" w:styleId="Titel">
    <w:name w:val="Title"/>
    <w:basedOn w:val="Standard"/>
    <w:next w:val="Standard"/>
    <w:link w:val="TitelZeichen"/>
    <w:qFormat/>
    <w:rsid w:val="00D80D99"/>
    <w:pPr>
      <w:suppressLineNumbers/>
      <w:spacing w:before="240" w:after="360"/>
      <w:jc w:val="center"/>
    </w:pPr>
    <w:rPr>
      <w:rFonts w:cs="Times New Roman"/>
      <w:b/>
      <w:sz w:val="32"/>
      <w:szCs w:val="32"/>
    </w:rPr>
  </w:style>
  <w:style w:type="character" w:customStyle="1" w:styleId="TitelZeichen">
    <w:name w:val="Titel Zeichen"/>
    <w:basedOn w:val="Absatzstandardschriftart"/>
    <w:link w:val="Titel"/>
    <w:rsid w:val="00D80D99"/>
    <w:rPr>
      <w:rFonts w:ascii="Times New Roman" w:hAnsi="Times New Roman" w:cs="Times New Roman"/>
      <w:b/>
      <w:sz w:val="32"/>
      <w:szCs w:val="32"/>
    </w:rPr>
  </w:style>
  <w:style w:type="paragraph" w:styleId="Untertitel">
    <w:name w:val="Subtitle"/>
    <w:basedOn w:val="Standard"/>
    <w:next w:val="Standard"/>
    <w:link w:val="UntertitelZeichen"/>
    <w:uiPriority w:val="99"/>
    <w:unhideWhenUsed/>
    <w:qFormat/>
    <w:rsid w:val="00AC0270"/>
    <w:pPr>
      <w:spacing w:before="240"/>
    </w:pPr>
    <w:rPr>
      <w:rFonts w:cs="Times New Roman"/>
      <w:b/>
      <w:szCs w:val="24"/>
    </w:rPr>
  </w:style>
  <w:style w:type="character" w:customStyle="1" w:styleId="UntertitelZeichen">
    <w:name w:val="Untertitel Zeichen"/>
    <w:basedOn w:val="Absatzstandardschriftart"/>
    <w:link w:val="Untertitel"/>
    <w:uiPriority w:val="99"/>
    <w:rsid w:val="00651CA2"/>
    <w:rPr>
      <w:rFonts w:ascii="Times New Roman" w:hAnsi="Times New Roman" w:cs="Times New Roman"/>
      <w:b/>
      <w:sz w:val="24"/>
      <w:szCs w:val="24"/>
    </w:rPr>
  </w:style>
  <w:style w:type="character" w:customStyle="1" w:styleId="berschrift3Zeichen">
    <w:name w:val="Überschrift 3 Zeichen"/>
    <w:basedOn w:val="Absatzstandardschriftart"/>
    <w:link w:val="berschrift3"/>
    <w:uiPriority w:val="2"/>
    <w:rsid w:val="005D1840"/>
    <w:rPr>
      <w:rFonts w:ascii="Times New Roman" w:eastAsiaTheme="majorEastAsia" w:hAnsi="Times New Roman" w:cstheme="majorBidi"/>
      <w:b/>
      <w:sz w:val="24"/>
      <w:szCs w:val="24"/>
    </w:rPr>
  </w:style>
  <w:style w:type="paragraph" w:styleId="KeinLeerraum">
    <w:name w:val="No Spacing"/>
    <w:uiPriority w:val="1"/>
    <w:unhideWhenUsed/>
    <w:qFormat/>
    <w:rsid w:val="00A53000"/>
    <w:pPr>
      <w:spacing w:after="0" w:line="240" w:lineRule="auto"/>
    </w:pPr>
    <w:rPr>
      <w:rFonts w:ascii="Times New Roman" w:hAnsi="Times New Roman"/>
      <w:sz w:val="24"/>
    </w:rPr>
  </w:style>
  <w:style w:type="character" w:customStyle="1" w:styleId="berschrift4Zeichen">
    <w:name w:val="Überschrift 4 Zeichen"/>
    <w:basedOn w:val="Absatzstandardschriftart"/>
    <w:link w:val="berschrift4"/>
    <w:uiPriority w:val="2"/>
    <w:rsid w:val="005D1840"/>
    <w:rPr>
      <w:rFonts w:ascii="Times New Roman" w:eastAsiaTheme="majorEastAsia" w:hAnsi="Times New Roman" w:cstheme="majorBidi"/>
      <w:b/>
      <w:iCs/>
      <w:sz w:val="24"/>
      <w:szCs w:val="24"/>
    </w:rPr>
  </w:style>
  <w:style w:type="character" w:customStyle="1" w:styleId="berschrift5Zeichen">
    <w:name w:val="Überschrift 5 Zeichen"/>
    <w:basedOn w:val="Absatzstandardschriftart"/>
    <w:link w:val="berschrift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Untertitel"/>
    <w:next w:val="Standard"/>
    <w:uiPriority w:val="1"/>
    <w:qFormat/>
    <w:rsid w:val="00651CA2"/>
  </w:style>
  <w:style w:type="character" w:styleId="SchwacheHervorhebung">
    <w:name w:val="Subtle Emphasis"/>
    <w:basedOn w:val="Absatzstandardschriftart"/>
    <w:uiPriority w:val="19"/>
    <w:qFormat/>
    <w:rsid w:val="00C724CF"/>
    <w:rPr>
      <w:rFonts w:ascii="Times New Roman" w:hAnsi="Times New Roman"/>
      <w:i/>
      <w:iCs/>
      <w:color w:val="404040" w:themeColor="text1" w:themeTint="BF"/>
    </w:rPr>
  </w:style>
  <w:style w:type="character" w:styleId="IntensiveHervorhebung">
    <w:name w:val="Intense Emphasis"/>
    <w:basedOn w:val="Absatzstandardschriftart"/>
    <w:uiPriority w:val="21"/>
    <w:unhideWhenUsed/>
    <w:rsid w:val="00C724CF"/>
    <w:rPr>
      <w:rFonts w:ascii="Times New Roman" w:hAnsi="Times New Roman"/>
      <w:i/>
      <w:iCs/>
      <w:color w:val="auto"/>
    </w:rPr>
  </w:style>
  <w:style w:type="paragraph" w:styleId="Anfhrungszeichen">
    <w:name w:val="Quote"/>
    <w:basedOn w:val="Standard"/>
    <w:next w:val="Standard"/>
    <w:link w:val="AnfhrungszeichenZeichen"/>
    <w:uiPriority w:val="29"/>
    <w:qFormat/>
    <w:rsid w:val="00C724CF"/>
    <w:pPr>
      <w:spacing w:before="200" w:after="160"/>
      <w:ind w:left="864" w:right="864"/>
      <w:jc w:val="center"/>
    </w:pPr>
    <w:rPr>
      <w:i/>
      <w:iCs/>
      <w:color w:val="404040" w:themeColor="text1" w:themeTint="BF"/>
    </w:rPr>
  </w:style>
  <w:style w:type="character" w:customStyle="1" w:styleId="AnfhrungszeichenZeichen">
    <w:name w:val="Anführungszeichen Zeichen"/>
    <w:basedOn w:val="Absatzstandardschriftart"/>
    <w:link w:val="Anfhrungszeichen"/>
    <w:uiPriority w:val="29"/>
    <w:rsid w:val="00C724CF"/>
    <w:rPr>
      <w:rFonts w:ascii="Times New Roman" w:hAnsi="Times New Roman"/>
      <w:i/>
      <w:iCs/>
      <w:color w:val="404040" w:themeColor="text1" w:themeTint="BF"/>
      <w:sz w:val="24"/>
    </w:rPr>
  </w:style>
  <w:style w:type="character" w:styleId="IntensiverVerweis">
    <w:name w:val="Intense Reference"/>
    <w:basedOn w:val="Absatzstandardschriftart"/>
    <w:uiPriority w:val="32"/>
    <w:qFormat/>
    <w:rsid w:val="00C724CF"/>
    <w:rPr>
      <w:b/>
      <w:bCs/>
      <w:smallCaps/>
      <w:color w:val="auto"/>
      <w:spacing w:val="5"/>
    </w:rPr>
  </w:style>
  <w:style w:type="character" w:styleId="Buchtitel">
    <w:name w:val="Book Title"/>
    <w:basedOn w:val="Absatzstandardschriftar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Bearbeitung">
    <w:name w:val="Revision"/>
    <w:hidden/>
    <w:uiPriority w:val="99"/>
    <w:semiHidden/>
    <w:rsid w:val="00A545C6"/>
    <w:pPr>
      <w:spacing w:after="0" w:line="240" w:lineRule="auto"/>
    </w:pPr>
    <w:rPr>
      <w:rFonts w:ascii="Times New Roman" w:hAnsi="Times New Roman"/>
      <w:sz w:val="24"/>
    </w:rPr>
  </w:style>
  <w:style w:type="paragraph" w:customStyle="1" w:styleId="LO-normal">
    <w:name w:val="LO-normal"/>
    <w:rsid w:val="00DB41E2"/>
    <w:pPr>
      <w:tabs>
        <w:tab w:val="left" w:pos="720"/>
      </w:tabs>
      <w:suppressAutoHyphens/>
      <w:spacing w:after="0"/>
    </w:pPr>
    <w:rPr>
      <w:rFonts w:ascii="Times New Roman" w:eastAsia="Times New Roman" w:hAnsi="Times New Roman" w:cs="Times New Roman"/>
      <w:sz w:val="20"/>
      <w:szCs w:val="20"/>
      <w:lang w:eastAsia="zh-CN"/>
    </w:rPr>
  </w:style>
  <w:style w:type="paragraph" w:customStyle="1" w:styleId="TextBody">
    <w:name w:val="Text Body"/>
    <w:basedOn w:val="Standard"/>
    <w:rsid w:val="00DB41E2"/>
    <w:pPr>
      <w:widowControl w:val="0"/>
      <w:suppressAutoHyphens/>
      <w:spacing w:before="0" w:after="120" w:line="288" w:lineRule="auto"/>
    </w:pPr>
    <w:rPr>
      <w:rFonts w:eastAsia="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794566288">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324744974">
      <w:bodyDiv w:val="1"/>
      <w:marLeft w:val="0"/>
      <w:marRight w:val="0"/>
      <w:marTop w:val="0"/>
      <w:marBottom w:val="0"/>
      <w:divBdr>
        <w:top w:val="none" w:sz="0" w:space="0" w:color="auto"/>
        <w:left w:val="none" w:sz="0" w:space="0" w:color="auto"/>
        <w:bottom w:val="none" w:sz="0" w:space="0" w:color="auto"/>
        <w:right w:val="none" w:sz="0" w:space="0" w:color="auto"/>
      </w:divBdr>
    </w:div>
    <w:div w:id="1364405580">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kylion:Dropbox:1%20PAPER%20SCHREIBEN:2016_COi_primer:Primer_v39_fronti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FB6A282-A77B-D141-BBD9-968D257CE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Primer_v39_frontiers.dotx</Template>
  <TotalTime>0</TotalTime>
  <Pages>16</Pages>
  <Words>24176</Words>
  <Characters>152313</Characters>
  <Application>Microsoft Macintosh Word</Application>
  <DocSecurity>0</DocSecurity>
  <Lines>1269</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Vasco Elbrecht</dc:creator>
  <cp:keywords/>
  <dc:description/>
  <cp:lastModifiedBy>Vasco Elbrecht</cp:lastModifiedBy>
  <cp:revision>21</cp:revision>
  <cp:lastPrinted>2013-10-03T12:51:00Z</cp:lastPrinted>
  <dcterms:created xsi:type="dcterms:W3CDTF">2016-10-15T07:26:00Z</dcterms:created>
  <dcterms:modified xsi:type="dcterms:W3CDTF">2016-10-15T16:57:00Z</dcterms:modified>
</cp:coreProperties>
</file>