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22" w:rsidRPr="00E26C3B" w:rsidRDefault="00396822" w:rsidP="00396822">
      <w:pPr>
        <w:spacing w:after="0" w:line="480" w:lineRule="auto"/>
        <w:contextualSpacing/>
        <w:rPr>
          <w:rFonts w:asciiTheme="minorHAnsi" w:hAnsiTheme="minorHAnsi"/>
          <w:b/>
          <w:noProof/>
          <w:lang w:eastAsia="en-NZ"/>
        </w:rPr>
      </w:pPr>
      <w:r w:rsidRPr="00E26C3B">
        <w:rPr>
          <w:rFonts w:asciiTheme="minorHAnsi" w:hAnsiTheme="minorHAnsi"/>
          <w:b/>
        </w:rPr>
        <w:t>Supporting information</w:t>
      </w:r>
      <w:r w:rsidR="003D1E19" w:rsidRPr="00E26C3B">
        <w:rPr>
          <w:rFonts w:asciiTheme="minorHAnsi" w:hAnsiTheme="minorHAnsi"/>
          <w:b/>
        </w:rPr>
        <w:t xml:space="preserve"> 5</w:t>
      </w:r>
    </w:p>
    <w:p w:rsidR="00396822" w:rsidRPr="00E26C3B" w:rsidRDefault="00396822" w:rsidP="00396822">
      <w:pPr>
        <w:spacing w:after="0" w:line="480" w:lineRule="auto"/>
        <w:contextualSpacing/>
        <w:rPr>
          <w:rFonts w:asciiTheme="minorHAnsi" w:hAnsiTheme="minorHAnsi"/>
          <w:b/>
          <w:noProof/>
          <w:lang w:eastAsia="en-NZ"/>
        </w:rPr>
      </w:pPr>
    </w:p>
    <w:p w:rsidR="00396822" w:rsidRPr="00E26C3B" w:rsidRDefault="00D91E89" w:rsidP="00396822">
      <w:pPr>
        <w:spacing w:after="0" w:line="480" w:lineRule="auto"/>
        <w:contextualSpacing/>
        <w:rPr>
          <w:rFonts w:asciiTheme="minorHAnsi" w:hAnsiTheme="minorHAnsi"/>
          <w:b/>
          <w:noProof/>
          <w:lang w:eastAsia="en-NZ"/>
        </w:rPr>
      </w:pPr>
      <w:r w:rsidRPr="00E26C3B">
        <w:rPr>
          <w:rFonts w:asciiTheme="minorHAnsi" w:hAnsiTheme="minorHAnsi"/>
          <w:b/>
          <w:noProof/>
          <w:lang w:eastAsia="en-NZ"/>
        </w:rPr>
        <w:t>Testing hairiness as</w:t>
      </w:r>
      <w:r w:rsidR="00396822" w:rsidRPr="00E26C3B">
        <w:rPr>
          <w:rFonts w:asciiTheme="minorHAnsi" w:hAnsiTheme="minorHAnsi"/>
          <w:b/>
          <w:noProof/>
          <w:lang w:eastAsia="en-NZ"/>
        </w:rPr>
        <w:t xml:space="preserve"> a predicitor of SVD for a different flower type</w:t>
      </w:r>
    </w:p>
    <w:p w:rsidR="00855C43" w:rsidRPr="00E26C3B" w:rsidRDefault="00855C43" w:rsidP="00396822">
      <w:pPr>
        <w:spacing w:after="0" w:line="480" w:lineRule="auto"/>
        <w:contextualSpacing/>
        <w:rPr>
          <w:rFonts w:asciiTheme="minorHAnsi" w:hAnsiTheme="minorHAnsi"/>
          <w:b/>
          <w:noProof/>
          <w:lang w:eastAsia="en-NZ"/>
        </w:rPr>
      </w:pPr>
    </w:p>
    <w:p w:rsidR="00396822" w:rsidRPr="00E26C3B" w:rsidRDefault="00396822" w:rsidP="00396822">
      <w:pPr>
        <w:spacing w:after="0" w:line="480" w:lineRule="auto"/>
        <w:contextualSpacing/>
        <w:rPr>
          <w:rFonts w:asciiTheme="minorHAnsi" w:hAnsiTheme="minorHAnsi"/>
        </w:rPr>
      </w:pPr>
      <w:r w:rsidRPr="00E26C3B">
        <w:rPr>
          <w:rFonts w:asciiTheme="minorHAnsi" w:hAnsiTheme="minorHAnsi"/>
          <w:noProof/>
          <w:lang w:eastAsia="en-NZ"/>
        </w:rPr>
        <w:t xml:space="preserve">To test if our method worked for another flower type, we measured SVD for kiwifruit </w:t>
      </w:r>
      <w:r w:rsidRPr="00E26C3B">
        <w:rPr>
          <w:rFonts w:asciiTheme="minorHAnsi" w:hAnsiTheme="minorHAnsi"/>
          <w:i/>
        </w:rPr>
        <w:t>Actinidia deliciosa</w:t>
      </w:r>
      <w:r w:rsidRPr="00E26C3B">
        <w:rPr>
          <w:rFonts w:asciiTheme="minorHAnsi" w:hAnsiTheme="minorHAnsi"/>
        </w:rPr>
        <w:t>, which is dioecious and has an open pollinated brush-shaped flower. SVD measurements (</w:t>
      </w:r>
      <w:r w:rsidRPr="00E26C3B">
        <w:rPr>
          <w:rFonts w:asciiTheme="minorHAnsi" w:hAnsiTheme="minorHAnsi"/>
          <w:i/>
        </w:rPr>
        <w:t>n</w:t>
      </w:r>
      <w:r w:rsidRPr="00E26C3B">
        <w:rPr>
          <w:rFonts w:asciiTheme="minorHAnsi" w:hAnsiTheme="minorHAnsi"/>
        </w:rPr>
        <w:t xml:space="preserve"> = 8-12 per species) for </w:t>
      </w:r>
      <w:r w:rsidRPr="00E26C3B">
        <w:rPr>
          <w:rFonts w:asciiTheme="minorHAnsi" w:hAnsiTheme="minorHAnsi"/>
          <w:i/>
        </w:rPr>
        <w:t>A</w:t>
      </w:r>
      <w:r w:rsidRPr="00E26C3B">
        <w:rPr>
          <w:rFonts w:asciiTheme="minorHAnsi" w:hAnsiTheme="minorHAnsi"/>
        </w:rPr>
        <w:t>.</w:t>
      </w:r>
      <w:r w:rsidRPr="00E26C3B">
        <w:rPr>
          <w:rFonts w:asciiTheme="minorHAnsi" w:hAnsiTheme="minorHAnsi"/>
          <w:i/>
        </w:rPr>
        <w:t xml:space="preserve"> deliciosa</w:t>
      </w:r>
      <w:r w:rsidRPr="00E26C3B">
        <w:rPr>
          <w:rFonts w:asciiTheme="minorHAnsi" w:hAnsiTheme="minorHAnsi"/>
        </w:rPr>
        <w:t xml:space="preserve"> were taken for insect movements from staminate to pistillate flowers, using a method that differed from </w:t>
      </w:r>
      <w:r w:rsidRPr="00E26C3B">
        <w:rPr>
          <w:rFonts w:asciiTheme="minorHAnsi" w:hAnsiTheme="minorHAnsi"/>
          <w:i/>
        </w:rPr>
        <w:t xml:space="preserve">B. </w:t>
      </w:r>
      <w:proofErr w:type="gramStart"/>
      <w:r w:rsidRPr="00E26C3B">
        <w:rPr>
          <w:rFonts w:asciiTheme="minorHAnsi" w:hAnsiTheme="minorHAnsi"/>
          <w:i/>
        </w:rPr>
        <w:t>rapa</w:t>
      </w:r>
      <w:proofErr w:type="gramEnd"/>
      <w:r w:rsidRPr="00E26C3B">
        <w:rPr>
          <w:rFonts w:asciiTheme="minorHAnsi" w:hAnsiTheme="minorHAnsi"/>
        </w:rPr>
        <w:t xml:space="preserve"> as described below. Individual pistillate buds were enclosed within paper bags 2-3 days prior to opening, and were later used as test flowers to evaluate pollen deposition by flowering visiting species. Each bag was secured using a wire tie (coated in plastic) that was gently twisted to exclude pollinators from visiting the opening flowers. Following flower opening, the bag was removed and the flower pedicel abscised where it joined the vine. The test flower was then carefully positioned using forceps to hold the pedicel 1-2 cm from a staminate flower containing a foraging insect, avoiding any contacting between flowers. If the test flower was visited by an insect, we allowed it to forage with minimal disturbance until it moved from the flower on its own accord. The first stigma touched by the foraging insect was then lightly marked near its base using a fine black felt pen. We then placed the marked stigma onto a slide and applied a drop of Alexander stain </w:t>
      </w:r>
      <w:r w:rsidRPr="00E26C3B">
        <w:rPr>
          <w:rFonts w:asciiTheme="minorHAnsi" w:hAnsiTheme="minorHAnsi"/>
        </w:rPr>
        <w:fldChar w:fldCharType="begin"/>
      </w:r>
      <w:r w:rsidRPr="00E26C3B">
        <w:rPr>
          <w:rFonts w:asciiTheme="minorHAnsi" w:hAnsiTheme="minorHAnsi"/>
        </w:rPr>
        <w:instrText xml:space="preserve"> ADDIN EN.CITE &lt;EndNote&gt;&lt;Cite&gt;&lt;Author&gt;Dafni&lt;/Author&gt;&lt;Year&gt;2007&lt;/Year&gt;&lt;RecNum&gt;808&lt;/RecNum&gt;&lt;DisplayText&gt;(Dafni 2007)&lt;/DisplayText&gt;&lt;record&gt;&lt;rec-number&gt;808&lt;/rec-number&gt;&lt;foreign-keys&gt;&lt;key app="EN" db-id="deezz5f5erapxbevvpmxvreh5wpsfpa000de" timestamp="1465769642"&gt;808&lt;/key&gt;&lt;/foreign-keys&gt;&lt;ref-type name="Book"&gt;6&lt;/ref-type&gt;&lt;contributors&gt;&lt;authors&gt;&lt;author&gt;Dafni, A&lt;/author&gt;&lt;/authors&gt;&lt;/contributors&gt;&lt;titles&gt;&lt;title&gt;Pollination ecology. A practical approach&lt;/title&gt;&lt;/titles&gt;&lt;dates&gt;&lt;year&gt;2007&lt;/year&gt;&lt;/dates&gt;&lt;pub-location&gt;New York&lt;/pub-location&gt;&lt;publisher&gt;Oxford University Press&lt;/publisher&gt;&lt;urls&gt;&lt;/urls&gt;&lt;/record&gt;&lt;/Cite&gt;&lt;/EndNote&gt;</w:instrText>
      </w:r>
      <w:r w:rsidRPr="00E26C3B">
        <w:rPr>
          <w:rFonts w:asciiTheme="minorHAnsi" w:hAnsiTheme="minorHAnsi"/>
        </w:rPr>
        <w:fldChar w:fldCharType="separate"/>
      </w:r>
      <w:r w:rsidRPr="00E26C3B">
        <w:rPr>
          <w:rFonts w:asciiTheme="minorHAnsi" w:hAnsiTheme="minorHAnsi"/>
          <w:noProof/>
        </w:rPr>
        <w:t>(Dafni 2007)</w:t>
      </w:r>
      <w:r w:rsidRPr="00E26C3B">
        <w:rPr>
          <w:rFonts w:asciiTheme="minorHAnsi" w:hAnsiTheme="minorHAnsi"/>
        </w:rPr>
        <w:fldChar w:fldCharType="end"/>
      </w:r>
      <w:r w:rsidRPr="00E26C3B">
        <w:rPr>
          <w:rFonts w:asciiTheme="minorHAnsi" w:hAnsiTheme="minorHAnsi"/>
        </w:rPr>
        <w:t>. Alexander stain was used due to its effectiveness to stain staminate and pistillate pollen differently (pistillate pollen - green-blue, staminate pollen - dark red</w:t>
      </w:r>
      <w:r w:rsidR="00D91E89" w:rsidRPr="00E26C3B">
        <w:rPr>
          <w:rFonts w:asciiTheme="minorHAnsi" w:hAnsiTheme="minorHAnsi"/>
        </w:rPr>
        <w:t>)</w:t>
      </w:r>
      <w:r w:rsidRPr="00E26C3B">
        <w:rPr>
          <w:rFonts w:asciiTheme="minorHAnsi" w:hAnsiTheme="minorHAnsi"/>
        </w:rPr>
        <w:t xml:space="preserve"> </w:t>
      </w:r>
      <w:r w:rsidRPr="00E26C3B">
        <w:rPr>
          <w:rFonts w:asciiTheme="minorHAnsi" w:hAnsiTheme="minorHAnsi"/>
        </w:rPr>
        <w:fldChar w:fldCharType="begin"/>
      </w:r>
      <w:r w:rsidRPr="00E26C3B">
        <w:rPr>
          <w:rFonts w:asciiTheme="minorHAnsi" w:hAnsiTheme="minorHAnsi"/>
        </w:rPr>
        <w:instrText xml:space="preserve"> ADDIN EN.CITE &lt;EndNote&gt;&lt;Cite&gt;&lt;Author&gt;Goodwin&lt;/Author&gt;&lt;Year&gt;1992&lt;/Year&gt;&lt;RecNum&gt;812&lt;/RecNum&gt;&lt;DisplayText&gt;(Goodwin &amp;amp; Perry 1992)&lt;/DisplayText&gt;&lt;record&gt;&lt;rec-number&gt;812&lt;/rec-number&gt;&lt;foreign-keys&gt;&lt;key app="EN" db-id="deezz5f5erapxbevvpmxvreh5wpsfpa000de" timestamp="1465779259"&gt;812&lt;/key&gt;&lt;/foreign-keys&gt;&lt;ref-type name="Journal Article"&gt;17&lt;/ref-type&gt;&lt;contributors&gt;&lt;authors&gt;&lt;author&gt;Goodwin, R.M.&lt;/author&gt;&lt;author&gt;Perry, J.H.&lt;/author&gt;&lt;/authors&gt;&lt;/contributors&gt;&lt;titles&gt;&lt;title&gt;Use of pollen traps to investigate the foraging behaviour of honey bee colonies in kiwifruit orchards&lt;/title&gt;&lt;secondary-title&gt;New Zealand Journal of Crop and Horticultural Science&lt;/secondary-title&gt;&lt;/titles&gt;&lt;periodical&gt;&lt;full-title&gt;New Zealand Journal of Crop and Horticultural Science&lt;/full-title&gt;&lt;/periodical&gt;&lt;pages&gt;23-26&lt;/pages&gt;&lt;volume&gt;20&lt;/volume&gt;&lt;number&gt;1&lt;/number&gt;&lt;dates&gt;&lt;year&gt;1992&lt;/year&gt;&lt;/dates&gt;&lt;urls&gt;&lt;/urls&gt;&lt;/record&gt;&lt;/Cite&gt;&lt;/EndNote&gt;</w:instrText>
      </w:r>
      <w:r w:rsidRPr="00E26C3B">
        <w:rPr>
          <w:rFonts w:asciiTheme="minorHAnsi" w:hAnsiTheme="minorHAnsi"/>
        </w:rPr>
        <w:fldChar w:fldCharType="separate"/>
      </w:r>
      <w:r w:rsidRPr="00E26C3B">
        <w:rPr>
          <w:rFonts w:asciiTheme="minorHAnsi" w:hAnsiTheme="minorHAnsi"/>
          <w:noProof/>
        </w:rPr>
        <w:t>(Goodwin &amp; Perry 1992)</w:t>
      </w:r>
      <w:r w:rsidRPr="00E26C3B">
        <w:rPr>
          <w:rFonts w:asciiTheme="minorHAnsi" w:hAnsiTheme="minorHAnsi"/>
        </w:rPr>
        <w:fldChar w:fldCharType="end"/>
      </w:r>
      <w:r w:rsidRPr="00E26C3B">
        <w:rPr>
          <w:rFonts w:asciiTheme="minorHAnsi" w:hAnsiTheme="minorHAnsi"/>
        </w:rPr>
        <w:t>. We measured hairiness of insect pollinators (</w:t>
      </w:r>
      <w:r w:rsidRPr="00E26C3B">
        <w:rPr>
          <w:rFonts w:asciiTheme="minorHAnsi" w:hAnsiTheme="minorHAnsi"/>
          <w:i/>
        </w:rPr>
        <w:t>n</w:t>
      </w:r>
      <w:r w:rsidRPr="00E26C3B">
        <w:rPr>
          <w:rFonts w:asciiTheme="minorHAnsi" w:hAnsiTheme="minorHAnsi"/>
        </w:rPr>
        <w:t xml:space="preserve"> = 8-10) using the same methods and analyses as described in the methods section of the main paper.</w:t>
      </w:r>
    </w:p>
    <w:p w:rsidR="00396822" w:rsidRPr="00E26C3B" w:rsidRDefault="00396822" w:rsidP="00396822">
      <w:pPr>
        <w:spacing w:after="0" w:line="480" w:lineRule="auto"/>
        <w:contextualSpacing/>
        <w:rPr>
          <w:rFonts w:asciiTheme="minorHAnsi" w:hAnsiTheme="minorHAnsi"/>
        </w:rPr>
      </w:pPr>
    </w:p>
    <w:p w:rsidR="00396822" w:rsidRPr="00E26C3B" w:rsidRDefault="00396822" w:rsidP="00396822">
      <w:pPr>
        <w:spacing w:after="0" w:line="480" w:lineRule="auto"/>
        <w:contextualSpacing/>
        <w:rPr>
          <w:rFonts w:asciiTheme="minorHAnsi" w:hAnsiTheme="minorHAnsi"/>
        </w:rPr>
      </w:pPr>
      <w:r w:rsidRPr="00E26C3B">
        <w:rPr>
          <w:rFonts w:asciiTheme="minorHAnsi" w:hAnsiTheme="minorHAnsi"/>
        </w:rPr>
        <w:lastRenderedPageBreak/>
        <w:t xml:space="preserve">The best model for predicting SVD for </w:t>
      </w:r>
      <w:r w:rsidRPr="00E26C3B">
        <w:rPr>
          <w:rFonts w:asciiTheme="minorHAnsi" w:hAnsiTheme="minorHAnsi"/>
          <w:i/>
        </w:rPr>
        <w:t>A</w:t>
      </w:r>
      <w:r w:rsidRPr="00E26C3B">
        <w:rPr>
          <w:rFonts w:asciiTheme="minorHAnsi" w:hAnsiTheme="minorHAnsi"/>
        </w:rPr>
        <w:t>.</w:t>
      </w:r>
      <w:r w:rsidRPr="00E26C3B">
        <w:rPr>
          <w:rFonts w:asciiTheme="minorHAnsi" w:hAnsiTheme="minorHAnsi"/>
          <w:i/>
        </w:rPr>
        <w:t xml:space="preserve"> deliciosa</w:t>
      </w:r>
      <w:r w:rsidRPr="00E26C3B">
        <w:rPr>
          <w:rFonts w:asciiTheme="minorHAnsi" w:hAnsiTheme="minorHAnsi"/>
        </w:rPr>
        <w:t xml:space="preserve"> included the face and thorax ventral regions </w:t>
      </w:r>
      <w:r w:rsidR="00D91E89" w:rsidRPr="00E26C3B">
        <w:rPr>
          <w:rFonts w:asciiTheme="minorHAnsi" w:hAnsiTheme="minorHAnsi"/>
        </w:rPr>
        <w:t xml:space="preserve">as predictors </w:t>
      </w:r>
      <w:r w:rsidRPr="00E26C3B">
        <w:rPr>
          <w:rFonts w:asciiTheme="minorHAnsi" w:hAnsiTheme="minorHAnsi"/>
        </w:rPr>
        <w:t>(adjusted R</w:t>
      </w:r>
      <w:r w:rsidRPr="00E26C3B">
        <w:rPr>
          <w:rFonts w:asciiTheme="minorHAnsi" w:hAnsiTheme="minorHAnsi"/>
          <w:vertAlign w:val="superscript"/>
        </w:rPr>
        <w:t>2</w:t>
      </w:r>
      <w:r w:rsidRPr="00E26C3B">
        <w:rPr>
          <w:rFonts w:asciiTheme="minorHAnsi" w:hAnsiTheme="minorHAnsi"/>
        </w:rPr>
        <w:t xml:space="preserve"> = 0.91) (</w:t>
      </w:r>
      <w:r w:rsidR="00E26C3B" w:rsidRPr="00E26C3B">
        <w:rPr>
          <w:rFonts w:asciiTheme="minorHAnsi" w:hAnsiTheme="minorHAnsi"/>
        </w:rPr>
        <w:t>Table S1</w:t>
      </w:r>
      <w:r w:rsidR="00E26C3B">
        <w:rPr>
          <w:rFonts w:asciiTheme="minorHAnsi" w:hAnsiTheme="minorHAnsi"/>
        </w:rPr>
        <w:t xml:space="preserve">; </w:t>
      </w:r>
      <w:r w:rsidRPr="00E26C3B">
        <w:rPr>
          <w:rFonts w:asciiTheme="minorHAnsi" w:hAnsiTheme="minorHAnsi"/>
        </w:rPr>
        <w:t>Figure S1). However, the subsequent top four models were within two AIC</w:t>
      </w:r>
      <w:r w:rsidRPr="00E26C3B">
        <w:rPr>
          <w:rFonts w:asciiTheme="minorHAnsi" w:hAnsiTheme="minorHAnsi"/>
          <w:vertAlign w:val="subscript"/>
        </w:rPr>
        <w:t>C</w:t>
      </w:r>
      <w:r w:rsidRPr="00E26C3B">
        <w:rPr>
          <w:rFonts w:asciiTheme="minorHAnsi" w:hAnsiTheme="minorHAnsi"/>
        </w:rPr>
        <w:t xml:space="preserve"> points of the best model and cannot be discounted as the potential top model. The face, thorax ventral, head ventral and abdomen ventral regions were retained in four of the five top models, which indicates that hairiness of the face and ventral regions is important for pollen deposition for </w:t>
      </w:r>
      <w:r w:rsidRPr="00E26C3B">
        <w:rPr>
          <w:rFonts w:asciiTheme="minorHAnsi" w:hAnsiTheme="minorHAnsi"/>
          <w:i/>
        </w:rPr>
        <w:t>A. deliciosa</w:t>
      </w:r>
      <w:r w:rsidRPr="00E26C3B">
        <w:rPr>
          <w:rFonts w:asciiTheme="minorHAnsi" w:hAnsiTheme="minorHAnsi"/>
        </w:rPr>
        <w:t xml:space="preserve">. The stigmas and anthers of </w:t>
      </w:r>
      <w:r w:rsidRPr="00E26C3B">
        <w:rPr>
          <w:rFonts w:asciiTheme="minorHAnsi" w:hAnsiTheme="minorHAnsi"/>
          <w:i/>
        </w:rPr>
        <w:t>A</w:t>
      </w:r>
      <w:r w:rsidRPr="00E26C3B">
        <w:rPr>
          <w:rFonts w:asciiTheme="minorHAnsi" w:hAnsiTheme="minorHAnsi"/>
        </w:rPr>
        <w:t xml:space="preserve">. </w:t>
      </w:r>
      <w:r w:rsidRPr="00E26C3B">
        <w:rPr>
          <w:rFonts w:asciiTheme="minorHAnsi" w:hAnsiTheme="minorHAnsi"/>
          <w:i/>
        </w:rPr>
        <w:t>deliciosa</w:t>
      </w:r>
      <w:r w:rsidRPr="00E26C3B">
        <w:rPr>
          <w:rFonts w:asciiTheme="minorHAnsi" w:hAnsiTheme="minorHAnsi"/>
        </w:rPr>
        <w:t xml:space="preserve"> flowers form brush shaped structures, and therefore are most likely to contact the face and ventral regions of pollinators. This finding is important as it shows that our method works for other plant species </w:t>
      </w:r>
      <w:r w:rsidR="00D91E89" w:rsidRPr="00E26C3B">
        <w:rPr>
          <w:rFonts w:asciiTheme="minorHAnsi" w:hAnsiTheme="minorHAnsi"/>
        </w:rPr>
        <w:t>with</w:t>
      </w:r>
      <w:r w:rsidRPr="00E26C3B">
        <w:rPr>
          <w:rFonts w:asciiTheme="minorHAnsi" w:hAnsiTheme="minorHAnsi"/>
        </w:rPr>
        <w:t xml:space="preserve"> different flower </w:t>
      </w:r>
      <w:r w:rsidR="00D91E89" w:rsidRPr="00E26C3B">
        <w:rPr>
          <w:rFonts w:asciiTheme="minorHAnsi" w:hAnsiTheme="minorHAnsi"/>
        </w:rPr>
        <w:t>morphologies</w:t>
      </w:r>
      <w:r w:rsidRPr="00E26C3B">
        <w:rPr>
          <w:rFonts w:asciiTheme="minorHAnsi" w:hAnsiTheme="minorHAnsi"/>
        </w:rPr>
        <w:t>.</w:t>
      </w:r>
    </w:p>
    <w:p w:rsidR="00396822" w:rsidRPr="00E26C3B" w:rsidRDefault="00396822" w:rsidP="00396822">
      <w:pPr>
        <w:spacing w:after="0" w:line="480" w:lineRule="auto"/>
        <w:contextualSpacing/>
        <w:rPr>
          <w:rFonts w:asciiTheme="minorHAnsi" w:hAnsiTheme="minorHAnsi"/>
          <w:noProof/>
          <w:lang w:eastAsia="en-NZ"/>
        </w:rPr>
      </w:pPr>
    </w:p>
    <w:p w:rsidR="000D7AC4" w:rsidRPr="00E26C3B" w:rsidRDefault="000D7AC4" w:rsidP="00E26C3B">
      <w:pPr>
        <w:spacing w:after="0" w:line="480" w:lineRule="auto"/>
        <w:contextualSpacing/>
        <w:rPr>
          <w:rFonts w:asciiTheme="minorHAnsi" w:hAnsiTheme="minorHAnsi"/>
          <w:b/>
        </w:rPr>
      </w:pPr>
      <w:r w:rsidRPr="00E26C3B">
        <w:rPr>
          <w:rFonts w:asciiTheme="minorHAnsi" w:hAnsiTheme="minorHAnsi"/>
          <w:b/>
        </w:rPr>
        <w:t>References</w:t>
      </w:r>
    </w:p>
    <w:p w:rsidR="00E26C3B" w:rsidRPr="00E26C3B" w:rsidRDefault="000D7AC4" w:rsidP="00E26C3B">
      <w:pPr>
        <w:pStyle w:val="EndNoteBibliography"/>
        <w:spacing w:after="0" w:line="480" w:lineRule="auto"/>
        <w:ind w:left="720" w:hanging="720"/>
        <w:contextualSpacing/>
      </w:pPr>
      <w:r w:rsidRPr="00E26C3B">
        <w:rPr>
          <w:rFonts w:asciiTheme="minorHAnsi" w:hAnsiTheme="minorHAnsi"/>
        </w:rPr>
        <w:fldChar w:fldCharType="begin"/>
      </w:r>
      <w:r w:rsidRPr="00E26C3B">
        <w:rPr>
          <w:rFonts w:asciiTheme="minorHAnsi" w:hAnsiTheme="minorHAnsi"/>
        </w:rPr>
        <w:instrText xml:space="preserve"> ADDIN EN.REFLIST </w:instrText>
      </w:r>
      <w:r w:rsidRPr="00E26C3B">
        <w:rPr>
          <w:rFonts w:asciiTheme="minorHAnsi" w:hAnsiTheme="minorHAnsi"/>
        </w:rPr>
        <w:fldChar w:fldCharType="separate"/>
      </w:r>
      <w:r w:rsidR="00E26C3B" w:rsidRPr="00E26C3B">
        <w:t xml:space="preserve">Dafni, A. (2007) </w:t>
      </w:r>
      <w:r w:rsidR="00E26C3B" w:rsidRPr="00E26C3B">
        <w:rPr>
          <w:i/>
        </w:rPr>
        <w:t>Pollination ecology. A practical approach</w:t>
      </w:r>
      <w:r w:rsidR="00E26C3B" w:rsidRPr="00E26C3B">
        <w:t>. Oxford University Press, New York.</w:t>
      </w:r>
    </w:p>
    <w:p w:rsidR="00E26C3B" w:rsidRPr="00E26C3B" w:rsidRDefault="00E26C3B" w:rsidP="00E26C3B">
      <w:pPr>
        <w:pStyle w:val="EndNoteBibliography"/>
        <w:spacing w:after="0" w:line="480" w:lineRule="auto"/>
        <w:ind w:left="720" w:hanging="720"/>
        <w:contextualSpacing/>
      </w:pPr>
      <w:r w:rsidRPr="00E26C3B">
        <w:t xml:space="preserve">Goodwin, R.M. &amp; Perry, J.H. (1992) Use of pollen traps to investigate the foraging behaviour of honey bee colonies in kiwifruit orchards. </w:t>
      </w:r>
      <w:r w:rsidRPr="00E26C3B">
        <w:rPr>
          <w:i/>
        </w:rPr>
        <w:t>New Zealand Journal of Crop and Horticultural Science,</w:t>
      </w:r>
      <w:r w:rsidRPr="00E26C3B">
        <w:t xml:space="preserve"> </w:t>
      </w:r>
      <w:r w:rsidRPr="00E26C3B">
        <w:rPr>
          <w:b/>
        </w:rPr>
        <w:t>20,</w:t>
      </w:r>
      <w:r w:rsidRPr="00E26C3B">
        <w:t xml:space="preserve"> 23-26.</w:t>
      </w:r>
    </w:p>
    <w:p w:rsidR="00396822" w:rsidRPr="00E26C3B" w:rsidRDefault="000D7AC4" w:rsidP="00E26C3B">
      <w:pPr>
        <w:spacing w:after="0" w:line="480" w:lineRule="auto"/>
        <w:contextualSpacing/>
        <w:rPr>
          <w:rFonts w:asciiTheme="minorHAnsi" w:hAnsiTheme="minorHAnsi"/>
          <w:b/>
          <w:noProof/>
          <w:lang w:eastAsia="en-NZ"/>
        </w:rPr>
      </w:pPr>
      <w:r w:rsidRPr="00E26C3B">
        <w:rPr>
          <w:rFonts w:asciiTheme="minorHAnsi" w:hAnsiTheme="minorHAnsi"/>
        </w:rPr>
        <w:fldChar w:fldCharType="end"/>
      </w:r>
    </w:p>
    <w:p w:rsidR="00396822" w:rsidRPr="00E26C3B" w:rsidRDefault="00396822" w:rsidP="00396822">
      <w:pPr>
        <w:spacing w:after="0" w:line="480" w:lineRule="auto"/>
        <w:contextualSpacing/>
        <w:rPr>
          <w:rFonts w:asciiTheme="minorHAnsi" w:hAnsiTheme="minorHAnsi"/>
          <w:b/>
          <w:noProof/>
          <w:lang w:eastAsia="en-NZ"/>
        </w:rPr>
      </w:pPr>
    </w:p>
    <w:p w:rsidR="00396822" w:rsidRPr="00E26C3B" w:rsidRDefault="00396822" w:rsidP="00396822">
      <w:pPr>
        <w:spacing w:after="0" w:line="480" w:lineRule="auto"/>
        <w:contextualSpacing/>
        <w:rPr>
          <w:rFonts w:asciiTheme="minorHAnsi" w:hAnsiTheme="minorHAnsi"/>
          <w:b/>
          <w:noProof/>
          <w:lang w:eastAsia="en-NZ"/>
        </w:rPr>
      </w:pPr>
    </w:p>
    <w:p w:rsidR="00396822" w:rsidRPr="00E26C3B" w:rsidRDefault="00396822" w:rsidP="00396822">
      <w:pPr>
        <w:spacing w:after="0" w:line="480" w:lineRule="auto"/>
        <w:contextualSpacing/>
        <w:rPr>
          <w:rFonts w:asciiTheme="minorHAnsi" w:hAnsiTheme="minorHAnsi"/>
          <w:b/>
          <w:noProof/>
          <w:lang w:eastAsia="en-NZ"/>
        </w:rPr>
      </w:pPr>
    </w:p>
    <w:p w:rsidR="00396822" w:rsidRPr="00E26C3B" w:rsidRDefault="00396822" w:rsidP="00396822">
      <w:pPr>
        <w:spacing w:after="0" w:line="480" w:lineRule="auto"/>
        <w:contextualSpacing/>
        <w:rPr>
          <w:rFonts w:asciiTheme="minorHAnsi" w:hAnsiTheme="minorHAnsi"/>
          <w:b/>
          <w:noProof/>
          <w:lang w:eastAsia="en-NZ"/>
        </w:rPr>
      </w:pPr>
    </w:p>
    <w:p w:rsidR="00396822" w:rsidRPr="00E26C3B" w:rsidRDefault="00396822" w:rsidP="00396822">
      <w:pPr>
        <w:spacing w:after="0" w:line="480" w:lineRule="auto"/>
        <w:contextualSpacing/>
        <w:rPr>
          <w:rFonts w:asciiTheme="minorHAnsi" w:hAnsiTheme="minorHAnsi"/>
          <w:b/>
          <w:noProof/>
          <w:lang w:eastAsia="en-NZ"/>
        </w:rPr>
      </w:pPr>
    </w:p>
    <w:p w:rsidR="000D7AC4" w:rsidRPr="00E26C3B" w:rsidRDefault="000D7AC4" w:rsidP="00396822">
      <w:pPr>
        <w:spacing w:after="0" w:line="480" w:lineRule="auto"/>
        <w:contextualSpacing/>
        <w:rPr>
          <w:rFonts w:asciiTheme="minorHAnsi" w:hAnsiTheme="minorHAnsi"/>
          <w:b/>
        </w:rPr>
      </w:pPr>
    </w:p>
    <w:p w:rsidR="00DC3953" w:rsidRPr="00E26C3B" w:rsidRDefault="00DC3953" w:rsidP="00396822">
      <w:pPr>
        <w:spacing w:after="0" w:line="480" w:lineRule="auto"/>
        <w:contextualSpacing/>
        <w:rPr>
          <w:rFonts w:asciiTheme="minorHAnsi" w:hAnsiTheme="minorHAnsi"/>
          <w:b/>
        </w:rPr>
      </w:pPr>
    </w:p>
    <w:p w:rsidR="00E26C3B" w:rsidRPr="00E26C3B" w:rsidRDefault="00E26C3B" w:rsidP="00396822">
      <w:pPr>
        <w:spacing w:after="0" w:line="480" w:lineRule="auto"/>
        <w:contextualSpacing/>
        <w:rPr>
          <w:rFonts w:asciiTheme="minorHAnsi" w:hAnsiTheme="minorHAnsi"/>
          <w:b/>
        </w:rPr>
      </w:pPr>
    </w:p>
    <w:p w:rsidR="00396822" w:rsidRPr="00E26C3B" w:rsidRDefault="00396822" w:rsidP="00396822">
      <w:pPr>
        <w:spacing w:after="0" w:line="480" w:lineRule="auto"/>
        <w:contextualSpacing/>
        <w:rPr>
          <w:rFonts w:asciiTheme="minorHAnsi" w:hAnsiTheme="minorHAnsi"/>
          <w:b/>
        </w:rPr>
      </w:pPr>
      <w:r w:rsidRPr="00E26C3B">
        <w:rPr>
          <w:rFonts w:asciiTheme="minorHAnsi" w:hAnsiTheme="minorHAnsi"/>
          <w:b/>
        </w:rPr>
        <w:lastRenderedPageBreak/>
        <w:t>Table S1</w:t>
      </w:r>
    </w:p>
    <w:tbl>
      <w:tblPr>
        <w:tblStyle w:val="TableGrid"/>
        <w:tblpPr w:leftFromText="180" w:rightFromText="180" w:vertAnchor="page" w:horzAnchor="margin" w:tblpY="5281"/>
        <w:tblW w:w="9930" w:type="dxa"/>
        <w:tblLayout w:type="fixed"/>
        <w:tblCellMar>
          <w:top w:w="57" w:type="dxa"/>
          <w:left w:w="85" w:type="dxa"/>
          <w:bottom w:w="57" w:type="dxa"/>
          <w:right w:w="85" w:type="dxa"/>
        </w:tblCellMar>
        <w:tblLook w:val="04A0" w:firstRow="1" w:lastRow="0" w:firstColumn="1" w:lastColumn="0" w:noHBand="0" w:noVBand="1"/>
      </w:tblPr>
      <w:tblGrid>
        <w:gridCol w:w="1559"/>
        <w:gridCol w:w="3116"/>
        <w:gridCol w:w="1051"/>
        <w:gridCol w:w="1051"/>
        <w:gridCol w:w="1051"/>
        <w:gridCol w:w="1051"/>
        <w:gridCol w:w="1051"/>
      </w:tblGrid>
      <w:tr w:rsidR="00855C43" w:rsidRPr="00E26C3B" w:rsidTr="00855C43">
        <w:trPr>
          <w:trHeight w:val="397"/>
        </w:trPr>
        <w:tc>
          <w:tcPr>
            <w:tcW w:w="1559" w:type="dxa"/>
            <w:tcBorders>
              <w:top w:val="single" w:sz="4" w:space="0" w:color="auto"/>
              <w:left w:val="nil"/>
              <w:bottom w:val="single" w:sz="4" w:space="0" w:color="auto"/>
              <w:right w:val="nil"/>
            </w:tcBorders>
            <w:hideMark/>
          </w:tcPr>
          <w:p w:rsidR="00855C43" w:rsidRPr="00E26C3B" w:rsidRDefault="00855C43" w:rsidP="00855C43">
            <w:pPr>
              <w:spacing w:line="264" w:lineRule="auto"/>
              <w:rPr>
                <w:rFonts w:asciiTheme="minorHAnsi" w:hAnsiTheme="minorHAnsi"/>
                <w:b/>
                <w:bCs/>
              </w:rPr>
            </w:pPr>
            <w:r w:rsidRPr="00E26C3B">
              <w:rPr>
                <w:rFonts w:asciiTheme="minorHAnsi" w:hAnsiTheme="minorHAnsi"/>
                <w:b/>
                <w:bCs/>
              </w:rPr>
              <w:t>Response variable</w:t>
            </w:r>
          </w:p>
        </w:tc>
        <w:tc>
          <w:tcPr>
            <w:tcW w:w="3116"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rPr>
            </w:pPr>
            <w:r w:rsidRPr="00E26C3B">
              <w:rPr>
                <w:rFonts w:asciiTheme="minorHAnsi" w:hAnsiTheme="minorHAnsi"/>
                <w:b/>
                <w:bCs/>
              </w:rPr>
              <w:t>Model</w:t>
            </w:r>
          </w:p>
        </w:tc>
        <w:tc>
          <w:tcPr>
            <w:tcW w:w="1051"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rPr>
            </w:pPr>
            <w:proofErr w:type="spellStart"/>
            <w:r w:rsidRPr="00E26C3B">
              <w:rPr>
                <w:rFonts w:asciiTheme="minorHAnsi" w:hAnsiTheme="minorHAnsi"/>
                <w:b/>
                <w:bCs/>
              </w:rPr>
              <w:t>Adj</w:t>
            </w:r>
            <w:proofErr w:type="spellEnd"/>
            <w:r w:rsidRPr="00E26C3B">
              <w:rPr>
                <w:rFonts w:asciiTheme="minorHAnsi" w:hAnsiTheme="minorHAnsi"/>
                <w:b/>
                <w:bCs/>
              </w:rPr>
              <w:t xml:space="preserve"> R</w:t>
            </w:r>
            <w:r w:rsidRPr="00E26C3B">
              <w:rPr>
                <w:rFonts w:asciiTheme="minorHAnsi" w:hAnsiTheme="minorHAnsi"/>
                <w:b/>
                <w:bCs/>
                <w:vertAlign w:val="superscript"/>
              </w:rPr>
              <w:t>2</w:t>
            </w:r>
          </w:p>
        </w:tc>
        <w:tc>
          <w:tcPr>
            <w:tcW w:w="1051"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rPr>
            </w:pPr>
            <w:r w:rsidRPr="00E26C3B">
              <w:rPr>
                <w:rFonts w:asciiTheme="minorHAnsi" w:hAnsiTheme="minorHAnsi"/>
                <w:b/>
                <w:bCs/>
              </w:rPr>
              <w:t>AIC</w:t>
            </w:r>
            <w:r w:rsidRPr="00E26C3B">
              <w:rPr>
                <w:rFonts w:asciiTheme="minorHAnsi" w:hAnsiTheme="minorHAnsi"/>
                <w:b/>
                <w:bCs/>
                <w:vertAlign w:val="subscript"/>
              </w:rPr>
              <w:t>c</w:t>
            </w:r>
          </w:p>
        </w:tc>
        <w:tc>
          <w:tcPr>
            <w:tcW w:w="1051"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rPr>
            </w:pPr>
            <w:proofErr w:type="spellStart"/>
            <w:r w:rsidRPr="00E26C3B">
              <w:rPr>
                <w:rFonts w:asciiTheme="minorHAnsi" w:hAnsiTheme="minorHAnsi"/>
                <w:b/>
              </w:rPr>
              <w:t>Δ</w:t>
            </w:r>
            <w:r w:rsidRPr="00E26C3B">
              <w:rPr>
                <w:rFonts w:asciiTheme="minorHAnsi" w:hAnsiTheme="minorHAnsi"/>
                <w:b/>
                <w:i/>
              </w:rPr>
              <w:t>i</w:t>
            </w:r>
            <w:proofErr w:type="spellEnd"/>
          </w:p>
        </w:tc>
        <w:tc>
          <w:tcPr>
            <w:tcW w:w="1051"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i/>
              </w:rPr>
            </w:pPr>
            <w:proofErr w:type="spellStart"/>
            <w:r w:rsidRPr="00E26C3B">
              <w:rPr>
                <w:rFonts w:asciiTheme="minorHAnsi" w:hAnsiTheme="minorHAnsi"/>
                <w:b/>
                <w:bCs/>
                <w:i/>
              </w:rPr>
              <w:t>w</w:t>
            </w:r>
            <w:r w:rsidRPr="00E26C3B">
              <w:rPr>
                <w:rFonts w:asciiTheme="minorHAnsi" w:hAnsiTheme="minorHAnsi"/>
                <w:b/>
                <w:bCs/>
                <w:i/>
                <w:vertAlign w:val="subscript"/>
              </w:rPr>
              <w:t>i</w:t>
            </w:r>
            <w:proofErr w:type="spellEnd"/>
          </w:p>
        </w:tc>
        <w:tc>
          <w:tcPr>
            <w:tcW w:w="1051" w:type="dxa"/>
            <w:tcBorders>
              <w:top w:val="single" w:sz="4" w:space="0" w:color="auto"/>
              <w:left w:val="nil"/>
              <w:bottom w:val="single" w:sz="4" w:space="0" w:color="auto"/>
              <w:right w:val="nil"/>
            </w:tcBorders>
            <w:noWrap/>
            <w:vAlign w:val="center"/>
            <w:hideMark/>
          </w:tcPr>
          <w:p w:rsidR="00855C43" w:rsidRPr="00E26C3B" w:rsidRDefault="00855C43" w:rsidP="00855C43">
            <w:pPr>
              <w:spacing w:line="264" w:lineRule="auto"/>
              <w:rPr>
                <w:rFonts w:asciiTheme="minorHAnsi" w:hAnsiTheme="minorHAnsi"/>
                <w:b/>
                <w:bCs/>
              </w:rPr>
            </w:pPr>
            <w:proofErr w:type="spellStart"/>
            <w:r w:rsidRPr="00E26C3B">
              <w:rPr>
                <w:rFonts w:asciiTheme="minorHAnsi" w:hAnsiTheme="minorHAnsi"/>
                <w:b/>
                <w:bCs/>
              </w:rPr>
              <w:t>acc</w:t>
            </w:r>
            <w:proofErr w:type="spellEnd"/>
            <w:r w:rsidRPr="00E26C3B">
              <w:rPr>
                <w:rFonts w:asciiTheme="minorHAnsi" w:hAnsiTheme="minorHAnsi"/>
                <w:b/>
                <w:bCs/>
              </w:rPr>
              <w:t xml:space="preserve"> </w:t>
            </w:r>
            <w:proofErr w:type="spellStart"/>
            <w:r w:rsidRPr="00E26C3B">
              <w:rPr>
                <w:rFonts w:asciiTheme="minorHAnsi" w:hAnsiTheme="minorHAnsi"/>
                <w:b/>
                <w:bCs/>
                <w:i/>
              </w:rPr>
              <w:t>w</w:t>
            </w:r>
            <w:r w:rsidRPr="00E26C3B">
              <w:rPr>
                <w:rFonts w:asciiTheme="minorHAnsi" w:hAnsiTheme="minorHAnsi"/>
                <w:b/>
                <w:bCs/>
                <w:i/>
                <w:vertAlign w:val="subscript"/>
              </w:rPr>
              <w:t>i</w:t>
            </w:r>
            <w:proofErr w:type="spellEnd"/>
          </w:p>
        </w:tc>
      </w:tr>
      <w:tr w:rsidR="00855C43" w:rsidRPr="00E26C3B" w:rsidTr="00855C43">
        <w:trPr>
          <w:trHeight w:val="397"/>
        </w:trPr>
        <w:tc>
          <w:tcPr>
            <w:tcW w:w="1559" w:type="dxa"/>
            <w:vMerge w:val="restart"/>
            <w:tcBorders>
              <w:top w:val="single" w:sz="4" w:space="0" w:color="auto"/>
              <w:left w:val="nil"/>
              <w:bottom w:val="single" w:sz="4" w:space="0" w:color="auto"/>
              <w:right w:val="nil"/>
            </w:tcBorders>
            <w:vAlign w:val="center"/>
            <w:hideMark/>
          </w:tcPr>
          <w:p w:rsidR="00855C43" w:rsidRPr="00E26C3B" w:rsidRDefault="00855C43" w:rsidP="00855C43">
            <w:pPr>
              <w:spacing w:line="264" w:lineRule="auto"/>
              <w:jc w:val="center"/>
              <w:rPr>
                <w:rFonts w:asciiTheme="minorHAnsi" w:hAnsiTheme="minorHAnsi"/>
              </w:rPr>
            </w:pPr>
            <w:r w:rsidRPr="00E26C3B">
              <w:rPr>
                <w:rFonts w:asciiTheme="minorHAnsi" w:hAnsiTheme="minorHAnsi"/>
              </w:rPr>
              <w:t>SVD</w:t>
            </w:r>
          </w:p>
          <w:p w:rsidR="00855C43" w:rsidRPr="00E26C3B" w:rsidRDefault="00855C43" w:rsidP="00855C43">
            <w:pPr>
              <w:spacing w:line="264" w:lineRule="auto"/>
              <w:jc w:val="center"/>
              <w:rPr>
                <w:rFonts w:asciiTheme="minorHAnsi" w:hAnsiTheme="minorHAnsi"/>
              </w:rPr>
            </w:pPr>
          </w:p>
        </w:tc>
        <w:tc>
          <w:tcPr>
            <w:tcW w:w="3116"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Face + Thorax ventral</w:t>
            </w:r>
          </w:p>
        </w:tc>
        <w:tc>
          <w:tcPr>
            <w:tcW w:w="1051"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0.91</w:t>
            </w:r>
          </w:p>
        </w:tc>
        <w:tc>
          <w:tcPr>
            <w:tcW w:w="1051"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74.18</w:t>
            </w:r>
          </w:p>
        </w:tc>
        <w:tc>
          <w:tcPr>
            <w:tcW w:w="1051"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0.00</w:t>
            </w:r>
          </w:p>
        </w:tc>
        <w:tc>
          <w:tcPr>
            <w:tcW w:w="1051"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0.15</w:t>
            </w:r>
          </w:p>
        </w:tc>
        <w:tc>
          <w:tcPr>
            <w:tcW w:w="1051" w:type="dxa"/>
            <w:tcBorders>
              <w:top w:val="single" w:sz="4" w:space="0" w:color="auto"/>
              <w:left w:val="nil"/>
              <w:bottom w:val="nil"/>
              <w:right w:val="nil"/>
            </w:tcBorders>
            <w:noWrap/>
            <w:hideMark/>
          </w:tcPr>
          <w:p w:rsidR="00855C43" w:rsidRPr="00E26C3B" w:rsidRDefault="00855C43" w:rsidP="00855C43">
            <w:pPr>
              <w:rPr>
                <w:rFonts w:asciiTheme="minorHAnsi" w:hAnsiTheme="minorHAnsi"/>
                <w:b/>
              </w:rPr>
            </w:pPr>
            <w:r w:rsidRPr="00E26C3B">
              <w:rPr>
                <w:rFonts w:asciiTheme="minorHAnsi" w:hAnsiTheme="minorHAnsi"/>
                <w:b/>
              </w:rPr>
              <w:t>0.15</w:t>
            </w:r>
          </w:p>
        </w:tc>
      </w:tr>
      <w:tr w:rsidR="00855C43" w:rsidRPr="00E26C3B" w:rsidTr="00855C43">
        <w:trPr>
          <w:trHeight w:val="397"/>
        </w:trPr>
        <w:tc>
          <w:tcPr>
            <w:tcW w:w="1559" w:type="dxa"/>
            <w:vMerge/>
            <w:tcBorders>
              <w:top w:val="single" w:sz="4" w:space="0" w:color="auto"/>
              <w:left w:val="nil"/>
              <w:bottom w:val="single" w:sz="4" w:space="0" w:color="auto"/>
              <w:right w:val="nil"/>
            </w:tcBorders>
            <w:vAlign w:val="center"/>
            <w:hideMark/>
          </w:tcPr>
          <w:p w:rsidR="00855C43" w:rsidRPr="00E26C3B" w:rsidRDefault="00855C43" w:rsidP="00855C43">
            <w:pPr>
              <w:rPr>
                <w:rFonts w:asciiTheme="minorHAnsi" w:hAnsiTheme="minorHAnsi"/>
              </w:rPr>
            </w:pPr>
          </w:p>
        </w:tc>
        <w:tc>
          <w:tcPr>
            <w:tcW w:w="3116"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Abdomen dorsal</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0.81</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74.21</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0.03</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0.15</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0.30</w:t>
            </w:r>
          </w:p>
        </w:tc>
      </w:tr>
      <w:tr w:rsidR="00855C43" w:rsidRPr="00E26C3B" w:rsidTr="00855C43">
        <w:trPr>
          <w:trHeight w:val="397"/>
        </w:trPr>
        <w:tc>
          <w:tcPr>
            <w:tcW w:w="1559" w:type="dxa"/>
            <w:vMerge/>
            <w:tcBorders>
              <w:top w:val="single" w:sz="4" w:space="0" w:color="auto"/>
              <w:left w:val="nil"/>
              <w:bottom w:val="single" w:sz="4" w:space="0" w:color="auto"/>
              <w:right w:val="nil"/>
            </w:tcBorders>
            <w:vAlign w:val="center"/>
            <w:hideMark/>
          </w:tcPr>
          <w:p w:rsidR="00855C43" w:rsidRPr="00E26C3B" w:rsidRDefault="00855C43" w:rsidP="00855C43">
            <w:pPr>
              <w:rPr>
                <w:rFonts w:asciiTheme="minorHAnsi" w:hAnsiTheme="minorHAnsi"/>
              </w:rPr>
            </w:pPr>
          </w:p>
        </w:tc>
        <w:tc>
          <w:tcPr>
            <w:tcW w:w="3116"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Face</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0.80</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74.35</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0.17</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0.14</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0.45</w:t>
            </w:r>
          </w:p>
        </w:tc>
      </w:tr>
      <w:tr w:rsidR="00855C43" w:rsidRPr="00E26C3B" w:rsidTr="00855C43">
        <w:trPr>
          <w:trHeight w:val="397"/>
        </w:trPr>
        <w:tc>
          <w:tcPr>
            <w:tcW w:w="1559" w:type="dxa"/>
            <w:vMerge/>
            <w:tcBorders>
              <w:top w:val="single" w:sz="4" w:space="0" w:color="auto"/>
              <w:left w:val="nil"/>
              <w:bottom w:val="single" w:sz="4" w:space="0" w:color="auto"/>
              <w:right w:val="nil"/>
            </w:tcBorders>
            <w:vAlign w:val="center"/>
            <w:hideMark/>
          </w:tcPr>
          <w:p w:rsidR="00855C43" w:rsidRPr="00E26C3B" w:rsidRDefault="00855C43" w:rsidP="00855C43">
            <w:pPr>
              <w:rPr>
                <w:rFonts w:asciiTheme="minorHAnsi" w:hAnsiTheme="minorHAnsi"/>
              </w:rPr>
            </w:pPr>
          </w:p>
        </w:tc>
        <w:tc>
          <w:tcPr>
            <w:tcW w:w="3116"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Head ventral</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0.79</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74.84</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0.66</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0.11</w:t>
            </w:r>
          </w:p>
        </w:tc>
        <w:tc>
          <w:tcPr>
            <w:tcW w:w="1051" w:type="dxa"/>
            <w:tcBorders>
              <w:top w:val="nil"/>
              <w:left w:val="nil"/>
              <w:bottom w:val="nil"/>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0.56</w:t>
            </w:r>
          </w:p>
        </w:tc>
      </w:tr>
      <w:tr w:rsidR="00855C43" w:rsidRPr="00E26C3B" w:rsidTr="00855C43">
        <w:trPr>
          <w:trHeight w:val="397"/>
        </w:trPr>
        <w:tc>
          <w:tcPr>
            <w:tcW w:w="1559" w:type="dxa"/>
            <w:vMerge/>
            <w:tcBorders>
              <w:top w:val="single" w:sz="4" w:space="0" w:color="auto"/>
              <w:left w:val="nil"/>
              <w:bottom w:val="single" w:sz="4" w:space="0" w:color="auto"/>
              <w:right w:val="nil"/>
            </w:tcBorders>
            <w:vAlign w:val="center"/>
            <w:hideMark/>
          </w:tcPr>
          <w:p w:rsidR="00855C43" w:rsidRPr="00E26C3B" w:rsidRDefault="00855C43" w:rsidP="00855C43">
            <w:pPr>
              <w:rPr>
                <w:rFonts w:asciiTheme="minorHAnsi" w:hAnsiTheme="minorHAnsi"/>
              </w:rPr>
            </w:pPr>
          </w:p>
        </w:tc>
        <w:tc>
          <w:tcPr>
            <w:tcW w:w="3116"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Abdomen ventral</w:t>
            </w:r>
          </w:p>
        </w:tc>
        <w:tc>
          <w:tcPr>
            <w:tcW w:w="1051"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0.78</w:t>
            </w:r>
          </w:p>
        </w:tc>
        <w:tc>
          <w:tcPr>
            <w:tcW w:w="1051"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75.08</w:t>
            </w:r>
          </w:p>
        </w:tc>
        <w:tc>
          <w:tcPr>
            <w:tcW w:w="1051"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0.90</w:t>
            </w:r>
          </w:p>
        </w:tc>
        <w:tc>
          <w:tcPr>
            <w:tcW w:w="1051"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0.10</w:t>
            </w:r>
          </w:p>
        </w:tc>
        <w:tc>
          <w:tcPr>
            <w:tcW w:w="1051" w:type="dxa"/>
            <w:tcBorders>
              <w:top w:val="nil"/>
              <w:left w:val="nil"/>
              <w:bottom w:val="single" w:sz="4" w:space="0" w:color="auto"/>
              <w:right w:val="nil"/>
            </w:tcBorders>
            <w:noWrap/>
            <w:hideMark/>
          </w:tcPr>
          <w:p w:rsidR="00855C43" w:rsidRPr="00E26C3B" w:rsidRDefault="00855C43" w:rsidP="00855C43">
            <w:pPr>
              <w:rPr>
                <w:rFonts w:asciiTheme="minorHAnsi" w:hAnsiTheme="minorHAnsi"/>
              </w:rPr>
            </w:pPr>
            <w:r w:rsidRPr="00E26C3B">
              <w:rPr>
                <w:rFonts w:asciiTheme="minorHAnsi" w:hAnsiTheme="minorHAnsi"/>
              </w:rPr>
              <w:t>0.65</w:t>
            </w:r>
          </w:p>
        </w:tc>
      </w:tr>
    </w:tbl>
    <w:p w:rsidR="00396822" w:rsidRPr="00E26C3B" w:rsidRDefault="00396822" w:rsidP="00396822">
      <w:pPr>
        <w:spacing w:after="0" w:line="480" w:lineRule="auto"/>
        <w:contextualSpacing/>
        <w:rPr>
          <w:rFonts w:asciiTheme="minorHAnsi" w:hAnsiTheme="minorHAnsi"/>
          <w:b/>
        </w:rPr>
      </w:pPr>
      <w:r w:rsidRPr="00E26C3B">
        <w:rPr>
          <w:rFonts w:asciiTheme="minorHAnsi" w:hAnsiTheme="minorHAnsi"/>
        </w:rPr>
        <w:t xml:space="preserve">Best regression models examining the effect of insect body region entropy on single visit pollen deposition (SVD) and pollen load for </w:t>
      </w:r>
      <w:r w:rsidRPr="00E26C3B">
        <w:rPr>
          <w:rFonts w:asciiTheme="minorHAnsi" w:hAnsiTheme="minorHAnsi"/>
          <w:i/>
        </w:rPr>
        <w:t>Actinidia deliciosa</w:t>
      </w:r>
      <w:r w:rsidRPr="00E26C3B">
        <w:rPr>
          <w:rFonts w:asciiTheme="minorHAnsi" w:hAnsiTheme="minorHAnsi"/>
        </w:rPr>
        <w:t>. Models are presented in ascending order based on AIC</w:t>
      </w:r>
      <w:r w:rsidRPr="00E26C3B">
        <w:rPr>
          <w:rFonts w:asciiTheme="minorHAnsi" w:hAnsiTheme="minorHAnsi"/>
          <w:vertAlign w:val="subscript"/>
        </w:rPr>
        <w:t>C</w:t>
      </w:r>
      <w:r w:rsidRPr="00E26C3B">
        <w:rPr>
          <w:rFonts w:asciiTheme="minorHAnsi" w:hAnsiTheme="minorHAnsi"/>
        </w:rPr>
        <w:t xml:space="preserve"> values. </w:t>
      </w:r>
      <w:proofErr w:type="spellStart"/>
      <w:r w:rsidRPr="00E26C3B">
        <w:rPr>
          <w:rFonts w:asciiTheme="minorHAnsi" w:hAnsiTheme="minorHAnsi"/>
        </w:rPr>
        <w:t>Δ</w:t>
      </w:r>
      <w:r w:rsidRPr="00E26C3B">
        <w:rPr>
          <w:rFonts w:asciiTheme="minorHAnsi" w:hAnsiTheme="minorHAnsi"/>
          <w:i/>
        </w:rPr>
        <w:t>i</w:t>
      </w:r>
      <w:proofErr w:type="spellEnd"/>
      <w:r w:rsidRPr="00E26C3B">
        <w:rPr>
          <w:rFonts w:asciiTheme="minorHAnsi" w:hAnsiTheme="minorHAnsi"/>
        </w:rPr>
        <w:t xml:space="preserve"> is the difference in the AIC</w:t>
      </w:r>
      <w:r w:rsidRPr="00E26C3B">
        <w:rPr>
          <w:rFonts w:asciiTheme="minorHAnsi" w:hAnsiTheme="minorHAnsi"/>
          <w:vertAlign w:val="subscript"/>
        </w:rPr>
        <w:t>C</w:t>
      </w:r>
      <w:r w:rsidRPr="00E26C3B">
        <w:rPr>
          <w:rFonts w:asciiTheme="minorHAnsi" w:hAnsiTheme="minorHAnsi"/>
        </w:rPr>
        <w:t xml:space="preserve"> value of each model compared with the AIC</w:t>
      </w:r>
      <w:r w:rsidRPr="00E26C3B">
        <w:rPr>
          <w:rFonts w:asciiTheme="minorHAnsi" w:hAnsiTheme="minorHAnsi"/>
          <w:vertAlign w:val="subscript"/>
        </w:rPr>
        <w:t>C</w:t>
      </w:r>
      <w:r w:rsidRPr="00E26C3B">
        <w:rPr>
          <w:rFonts w:asciiTheme="minorHAnsi" w:hAnsiTheme="minorHAnsi"/>
        </w:rPr>
        <w:t xml:space="preserve"> value for the top model. </w:t>
      </w:r>
      <w:proofErr w:type="spellStart"/>
      <w:proofErr w:type="gramStart"/>
      <w:r w:rsidRPr="00E26C3B">
        <w:rPr>
          <w:rFonts w:asciiTheme="minorHAnsi" w:hAnsiTheme="minorHAnsi"/>
          <w:i/>
        </w:rPr>
        <w:t>w</w:t>
      </w:r>
      <w:r w:rsidRPr="00E26C3B">
        <w:rPr>
          <w:rFonts w:asciiTheme="minorHAnsi" w:hAnsiTheme="minorHAnsi"/>
          <w:i/>
          <w:vertAlign w:val="subscript"/>
        </w:rPr>
        <w:t>i</w:t>
      </w:r>
      <w:proofErr w:type="spellEnd"/>
      <w:proofErr w:type="gramEnd"/>
      <w:r w:rsidRPr="00E26C3B">
        <w:rPr>
          <w:rFonts w:asciiTheme="minorHAnsi" w:hAnsiTheme="minorHAnsi"/>
          <w:i/>
        </w:rPr>
        <w:t xml:space="preserve"> </w:t>
      </w:r>
      <w:r w:rsidRPr="00E26C3B">
        <w:rPr>
          <w:rFonts w:asciiTheme="minorHAnsi" w:hAnsiTheme="minorHAnsi"/>
        </w:rPr>
        <w:t xml:space="preserve">is the Akaike weight for each model and </w:t>
      </w:r>
      <w:proofErr w:type="spellStart"/>
      <w:r w:rsidRPr="00E26C3B">
        <w:rPr>
          <w:rFonts w:asciiTheme="minorHAnsi" w:hAnsiTheme="minorHAnsi"/>
        </w:rPr>
        <w:t>acc</w:t>
      </w:r>
      <w:proofErr w:type="spellEnd"/>
      <w:r w:rsidRPr="00E26C3B">
        <w:rPr>
          <w:rFonts w:asciiTheme="minorHAnsi" w:hAnsiTheme="minorHAnsi"/>
        </w:rPr>
        <w:t xml:space="preserve"> </w:t>
      </w:r>
      <w:proofErr w:type="spellStart"/>
      <w:r w:rsidRPr="00E26C3B">
        <w:rPr>
          <w:rFonts w:asciiTheme="minorHAnsi" w:hAnsiTheme="minorHAnsi"/>
          <w:i/>
        </w:rPr>
        <w:t>w</w:t>
      </w:r>
      <w:r w:rsidRPr="00E26C3B">
        <w:rPr>
          <w:rFonts w:asciiTheme="minorHAnsi" w:hAnsiTheme="minorHAnsi"/>
          <w:i/>
          <w:vertAlign w:val="subscript"/>
        </w:rPr>
        <w:t>i</w:t>
      </w:r>
      <w:proofErr w:type="spellEnd"/>
      <w:r w:rsidRPr="00E26C3B">
        <w:rPr>
          <w:rFonts w:asciiTheme="minorHAnsi" w:hAnsiTheme="minorHAnsi"/>
        </w:rPr>
        <w:t xml:space="preserve"> is the cumulative Akaike weight. Top models for </w:t>
      </w:r>
      <w:r w:rsidR="00D91E89" w:rsidRPr="00E26C3B">
        <w:rPr>
          <w:rFonts w:asciiTheme="minorHAnsi" w:hAnsiTheme="minorHAnsi"/>
        </w:rPr>
        <w:t>the response variable (SVD)</w:t>
      </w:r>
      <w:r w:rsidRPr="00E26C3B">
        <w:rPr>
          <w:rFonts w:asciiTheme="minorHAnsi" w:hAnsiTheme="minorHAnsi"/>
        </w:rPr>
        <w:t xml:space="preserve"> </w:t>
      </w:r>
      <w:r w:rsidR="00D91E89" w:rsidRPr="00E26C3B">
        <w:rPr>
          <w:rFonts w:asciiTheme="minorHAnsi" w:hAnsiTheme="minorHAnsi"/>
        </w:rPr>
        <w:t>is</w:t>
      </w:r>
      <w:r w:rsidRPr="00E26C3B">
        <w:rPr>
          <w:rFonts w:asciiTheme="minorHAnsi" w:hAnsiTheme="minorHAnsi"/>
        </w:rPr>
        <w:t xml:space="preserve"> highlighted in bold.</w:t>
      </w:r>
    </w:p>
    <w:p w:rsidR="00396822" w:rsidRPr="00DC3953" w:rsidRDefault="00396822" w:rsidP="00396822">
      <w:pPr>
        <w:spacing w:after="0" w:line="480" w:lineRule="auto"/>
        <w:contextualSpacing/>
        <w:rPr>
          <w:rFonts w:asciiTheme="minorHAnsi" w:hAnsiTheme="minorHAnsi"/>
          <w:b/>
          <w:noProof/>
          <w:lang w:eastAsia="en-NZ"/>
        </w:rPr>
      </w:pPr>
    </w:p>
    <w:p w:rsidR="00396822" w:rsidRPr="00DC3953" w:rsidRDefault="00396822" w:rsidP="00396822">
      <w:pPr>
        <w:spacing w:after="0" w:line="480" w:lineRule="auto"/>
        <w:contextualSpacing/>
        <w:rPr>
          <w:rFonts w:asciiTheme="minorHAnsi" w:hAnsiTheme="minorHAnsi"/>
          <w:b/>
          <w:noProof/>
          <w:lang w:eastAsia="en-NZ"/>
        </w:rPr>
      </w:pPr>
    </w:p>
    <w:p w:rsidR="00396822" w:rsidRPr="00DC3953" w:rsidRDefault="00396822" w:rsidP="00396822">
      <w:pPr>
        <w:spacing w:after="0" w:line="480" w:lineRule="auto"/>
        <w:contextualSpacing/>
        <w:rPr>
          <w:rFonts w:asciiTheme="minorHAnsi" w:hAnsiTheme="minorHAnsi"/>
          <w:b/>
          <w:noProof/>
          <w:lang w:eastAsia="en-NZ"/>
        </w:rPr>
      </w:pPr>
    </w:p>
    <w:p w:rsidR="00396822" w:rsidRPr="00DC3953" w:rsidRDefault="00396822" w:rsidP="00396822">
      <w:pPr>
        <w:spacing w:after="0" w:line="480" w:lineRule="auto"/>
        <w:contextualSpacing/>
        <w:rPr>
          <w:rFonts w:asciiTheme="minorHAnsi" w:hAnsiTheme="minorHAnsi"/>
          <w:b/>
          <w:noProof/>
          <w:lang w:eastAsia="en-NZ"/>
        </w:rPr>
      </w:pPr>
    </w:p>
    <w:p w:rsidR="00396822" w:rsidRPr="00DC3953" w:rsidRDefault="00396822" w:rsidP="00396822">
      <w:pPr>
        <w:spacing w:after="0" w:line="480" w:lineRule="auto"/>
        <w:contextualSpacing/>
        <w:rPr>
          <w:rFonts w:asciiTheme="minorHAnsi" w:hAnsiTheme="minorHAnsi"/>
          <w:b/>
          <w:noProof/>
          <w:lang w:eastAsia="en-NZ"/>
        </w:rPr>
      </w:pPr>
    </w:p>
    <w:p w:rsidR="000D7AC4" w:rsidRPr="00DC3953" w:rsidRDefault="000D7AC4" w:rsidP="00396822">
      <w:pPr>
        <w:spacing w:after="0" w:line="480" w:lineRule="auto"/>
        <w:contextualSpacing/>
        <w:rPr>
          <w:rFonts w:asciiTheme="minorHAnsi" w:hAnsiTheme="minorHAnsi"/>
          <w:b/>
          <w:noProof/>
          <w:lang w:eastAsia="en-NZ"/>
        </w:rPr>
      </w:pPr>
    </w:p>
    <w:p w:rsidR="000D7AC4" w:rsidRPr="00DC3953" w:rsidRDefault="000D7AC4" w:rsidP="00396822">
      <w:pPr>
        <w:spacing w:after="0" w:line="480" w:lineRule="auto"/>
        <w:contextualSpacing/>
        <w:rPr>
          <w:rFonts w:asciiTheme="minorHAnsi" w:hAnsiTheme="minorHAnsi"/>
          <w:b/>
          <w:noProof/>
          <w:lang w:eastAsia="en-NZ"/>
        </w:rPr>
      </w:pPr>
    </w:p>
    <w:p w:rsidR="000D7AC4" w:rsidRPr="00DC3953" w:rsidRDefault="000D7AC4" w:rsidP="00396822">
      <w:pPr>
        <w:spacing w:after="0" w:line="480" w:lineRule="auto"/>
        <w:contextualSpacing/>
        <w:rPr>
          <w:rFonts w:asciiTheme="minorHAnsi" w:hAnsiTheme="minorHAnsi"/>
          <w:b/>
          <w:noProof/>
          <w:lang w:eastAsia="en-NZ"/>
        </w:rPr>
      </w:pPr>
    </w:p>
    <w:p w:rsidR="000D7AC4" w:rsidRPr="00DC3953" w:rsidRDefault="000D7AC4" w:rsidP="00396822">
      <w:pPr>
        <w:spacing w:after="0" w:line="480" w:lineRule="auto"/>
        <w:contextualSpacing/>
        <w:rPr>
          <w:rFonts w:asciiTheme="minorHAnsi" w:hAnsiTheme="minorHAnsi"/>
          <w:b/>
          <w:noProof/>
          <w:lang w:eastAsia="en-NZ"/>
        </w:rPr>
      </w:pPr>
    </w:p>
    <w:p w:rsidR="00855C43" w:rsidRPr="00DC3953" w:rsidRDefault="00855C43" w:rsidP="00396822">
      <w:pPr>
        <w:spacing w:after="0" w:line="480" w:lineRule="auto"/>
        <w:contextualSpacing/>
        <w:rPr>
          <w:rFonts w:asciiTheme="minorHAnsi" w:hAnsiTheme="minorHAnsi"/>
          <w:b/>
          <w:noProof/>
          <w:lang w:eastAsia="en-NZ"/>
        </w:rPr>
      </w:pPr>
    </w:p>
    <w:p w:rsidR="00855C43" w:rsidRPr="00DC3953" w:rsidRDefault="00855C43" w:rsidP="00396822">
      <w:pPr>
        <w:spacing w:after="0" w:line="480" w:lineRule="auto"/>
        <w:contextualSpacing/>
        <w:rPr>
          <w:rFonts w:asciiTheme="minorHAnsi" w:hAnsiTheme="minorHAnsi"/>
          <w:b/>
          <w:noProof/>
          <w:lang w:eastAsia="en-NZ"/>
        </w:rPr>
      </w:pPr>
    </w:p>
    <w:p w:rsidR="00855C43" w:rsidRDefault="00855C43" w:rsidP="00396822">
      <w:pPr>
        <w:spacing w:after="0" w:line="480" w:lineRule="auto"/>
        <w:contextualSpacing/>
        <w:rPr>
          <w:rFonts w:asciiTheme="minorHAnsi" w:hAnsiTheme="minorHAnsi"/>
          <w:b/>
          <w:noProof/>
          <w:lang w:eastAsia="en-NZ"/>
        </w:rPr>
      </w:pPr>
    </w:p>
    <w:p w:rsidR="00E26C3B" w:rsidRPr="00DC3953" w:rsidRDefault="00E26C3B" w:rsidP="00396822">
      <w:pPr>
        <w:spacing w:after="0" w:line="480" w:lineRule="auto"/>
        <w:contextualSpacing/>
        <w:rPr>
          <w:rFonts w:asciiTheme="minorHAnsi" w:hAnsiTheme="minorHAnsi"/>
          <w:b/>
          <w:noProof/>
          <w:lang w:eastAsia="en-NZ"/>
        </w:rPr>
      </w:pPr>
    </w:p>
    <w:p w:rsidR="00396822" w:rsidRPr="00DC3953" w:rsidRDefault="00396822" w:rsidP="00396822">
      <w:pPr>
        <w:spacing w:after="0" w:line="480" w:lineRule="auto"/>
        <w:contextualSpacing/>
        <w:rPr>
          <w:rFonts w:asciiTheme="minorHAnsi" w:hAnsiTheme="minorHAnsi"/>
          <w:b/>
          <w:noProof/>
          <w:lang w:eastAsia="en-NZ"/>
        </w:rPr>
      </w:pPr>
      <w:r w:rsidRPr="00DC3953">
        <w:rPr>
          <w:rFonts w:asciiTheme="minorHAnsi" w:hAnsiTheme="minorHAnsi"/>
          <w:b/>
          <w:noProof/>
          <w:lang w:eastAsia="en-NZ"/>
        </w:rPr>
        <w:lastRenderedPageBreak/>
        <w:t>Figure S1</w:t>
      </w:r>
    </w:p>
    <w:p w:rsidR="00855C43" w:rsidRPr="00F073A9" w:rsidRDefault="00F073A9" w:rsidP="00396822">
      <w:pPr>
        <w:spacing w:after="0" w:line="480" w:lineRule="auto"/>
        <w:contextualSpacing/>
        <w:rPr>
          <w:rFonts w:asciiTheme="minorHAnsi" w:hAnsiTheme="minorHAnsi"/>
        </w:rPr>
      </w:pPr>
      <w:r w:rsidRPr="00F073A9">
        <w:rPr>
          <w:rFonts w:asciiTheme="minorHAnsi" w:hAnsiTheme="minorHAnsi" w:cs="Helvetica"/>
          <w:color w:val="333333"/>
          <w:shd w:val="clear" w:color="auto" w:fill="FDFDFD"/>
        </w:rPr>
        <w:t>Relationships between mean entropy for each body region and mean single visit pollen deposition (SVD) on</w:t>
      </w:r>
      <w:r w:rsidRPr="00F073A9">
        <w:rPr>
          <w:rStyle w:val="apple-converted-space"/>
          <w:rFonts w:asciiTheme="minorHAnsi" w:hAnsiTheme="minorHAnsi" w:cs="Helvetica"/>
          <w:color w:val="333333"/>
          <w:shd w:val="clear" w:color="auto" w:fill="FDFDFD"/>
        </w:rPr>
        <w:t> </w:t>
      </w:r>
      <w:r w:rsidRPr="00F073A9">
        <w:rPr>
          <w:rFonts w:asciiTheme="minorHAnsi" w:hAnsiTheme="minorHAnsi" w:cs="Helvetica"/>
          <w:i/>
          <w:iCs/>
          <w:color w:val="333333"/>
          <w:shd w:val="clear" w:color="auto" w:fill="FDFDFD"/>
        </w:rPr>
        <w:t>Actinidia deliciosa</w:t>
      </w:r>
      <w:r w:rsidRPr="00F073A9">
        <w:rPr>
          <w:rStyle w:val="apple-converted-space"/>
          <w:rFonts w:asciiTheme="minorHAnsi" w:hAnsiTheme="minorHAnsi" w:cs="Helvetica"/>
          <w:color w:val="333333"/>
          <w:shd w:val="clear" w:color="auto" w:fill="FDFDFD"/>
        </w:rPr>
        <w:t> </w:t>
      </w:r>
      <w:r w:rsidRPr="00F073A9">
        <w:rPr>
          <w:rFonts w:asciiTheme="minorHAnsi" w:hAnsiTheme="minorHAnsi" w:cs="Helvetica"/>
          <w:color w:val="333333"/>
          <w:shd w:val="clear" w:color="auto" w:fill="FDFDFD"/>
        </w:rPr>
        <w:t xml:space="preserve">for 7 different insect pollinator species. Black lines are </w:t>
      </w:r>
      <w:bookmarkStart w:id="0" w:name="_GoBack"/>
      <w:bookmarkEnd w:id="0"/>
      <w:r w:rsidRPr="00F073A9">
        <w:rPr>
          <w:rFonts w:asciiTheme="minorHAnsi" w:hAnsiTheme="minorHAnsi" w:cs="Helvetica"/>
          <w:color w:val="333333"/>
          <w:shd w:val="clear" w:color="auto" w:fill="FDFDFD"/>
        </w:rPr>
        <w:t>regressions for simple linear models</w:t>
      </w:r>
      <w:r w:rsidR="00396822" w:rsidRPr="00F073A9">
        <w:rPr>
          <w:rFonts w:asciiTheme="minorHAnsi" w:hAnsiTheme="minorHAnsi"/>
        </w:rPr>
        <w:t>.</w:t>
      </w:r>
    </w:p>
    <w:sectPr w:rsidR="00855C43" w:rsidRPr="00F073A9" w:rsidSect="009A628F">
      <w:footerReference w:type="default" r:id="rId6"/>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59" w:rsidRDefault="00D91E89">
      <w:pPr>
        <w:spacing w:after="0" w:line="240" w:lineRule="auto"/>
      </w:pPr>
      <w:r>
        <w:separator/>
      </w:r>
    </w:p>
  </w:endnote>
  <w:endnote w:type="continuationSeparator" w:id="0">
    <w:p w:rsidR="002E3559" w:rsidRDefault="00D9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36229"/>
      <w:docPartObj>
        <w:docPartGallery w:val="Page Numbers (Bottom of Page)"/>
        <w:docPartUnique/>
      </w:docPartObj>
    </w:sdtPr>
    <w:sdtEndPr>
      <w:rPr>
        <w:noProof/>
      </w:rPr>
    </w:sdtEndPr>
    <w:sdtContent>
      <w:p w:rsidR="00C36A60" w:rsidRPr="009A628F" w:rsidRDefault="003D1E19">
        <w:pPr>
          <w:pStyle w:val="Footer"/>
          <w:jc w:val="right"/>
        </w:pPr>
        <w:r w:rsidRPr="009A628F">
          <w:fldChar w:fldCharType="begin"/>
        </w:r>
        <w:r w:rsidRPr="009A628F">
          <w:instrText xml:space="preserve"> PAGE   \* MERGEFORMAT </w:instrText>
        </w:r>
        <w:r w:rsidRPr="009A628F">
          <w:fldChar w:fldCharType="separate"/>
        </w:r>
        <w:r w:rsidR="00F073A9">
          <w:rPr>
            <w:noProof/>
          </w:rPr>
          <w:t>4</w:t>
        </w:r>
        <w:r w:rsidRPr="009A628F">
          <w:rPr>
            <w:noProof/>
          </w:rPr>
          <w:fldChar w:fldCharType="end"/>
        </w:r>
      </w:p>
    </w:sdtContent>
  </w:sdt>
  <w:p w:rsidR="00C36A60" w:rsidRDefault="00F07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59" w:rsidRDefault="00D91E89">
      <w:pPr>
        <w:spacing w:after="0" w:line="240" w:lineRule="auto"/>
      </w:pPr>
      <w:r>
        <w:separator/>
      </w:r>
    </w:p>
  </w:footnote>
  <w:footnote w:type="continuationSeparator" w:id="0">
    <w:p w:rsidR="002E3559" w:rsidRDefault="00D91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eth Ecology Evolution Copy&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ezz5f5erapxbevvpmxvreh5wpsfpa000de&quot;&gt;Bees PhD&lt;record-ids&gt;&lt;item&gt;808&lt;/item&gt;&lt;item&gt;812&lt;/item&gt;&lt;/record-ids&gt;&lt;/item&gt;&lt;/Libraries&gt;"/>
  </w:docVars>
  <w:rsids>
    <w:rsidRoot w:val="00396822"/>
    <w:rsid w:val="00057D24"/>
    <w:rsid w:val="00060B15"/>
    <w:rsid w:val="00093BE9"/>
    <w:rsid w:val="000D2A2D"/>
    <w:rsid w:val="000D7AC4"/>
    <w:rsid w:val="001366DE"/>
    <w:rsid w:val="00196E1B"/>
    <w:rsid w:val="001A7055"/>
    <w:rsid w:val="0025740C"/>
    <w:rsid w:val="00277D15"/>
    <w:rsid w:val="002945B0"/>
    <w:rsid w:val="002A01A0"/>
    <w:rsid w:val="002D6655"/>
    <w:rsid w:val="002E3559"/>
    <w:rsid w:val="00396822"/>
    <w:rsid w:val="003D1E19"/>
    <w:rsid w:val="004139C8"/>
    <w:rsid w:val="004A27EB"/>
    <w:rsid w:val="004A695E"/>
    <w:rsid w:val="004E7111"/>
    <w:rsid w:val="006D39CD"/>
    <w:rsid w:val="006F15AE"/>
    <w:rsid w:val="007738C9"/>
    <w:rsid w:val="008219AB"/>
    <w:rsid w:val="00855C43"/>
    <w:rsid w:val="00924282"/>
    <w:rsid w:val="00AC3CBB"/>
    <w:rsid w:val="00B65BF5"/>
    <w:rsid w:val="00C112F8"/>
    <w:rsid w:val="00D0192D"/>
    <w:rsid w:val="00D763B6"/>
    <w:rsid w:val="00D91E89"/>
    <w:rsid w:val="00DC3953"/>
    <w:rsid w:val="00DC7519"/>
    <w:rsid w:val="00DC7A47"/>
    <w:rsid w:val="00DF1F01"/>
    <w:rsid w:val="00E26C3B"/>
    <w:rsid w:val="00E34B25"/>
    <w:rsid w:val="00E62BC0"/>
    <w:rsid w:val="00F073A9"/>
    <w:rsid w:val="00F22F70"/>
    <w:rsid w:val="00F57D52"/>
    <w:rsid w:val="00F8089C"/>
    <w:rsid w:val="00FA09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7AEA2-C194-48FB-AA3C-95B00D7D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2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22"/>
    <w:rPr>
      <w:rFonts w:ascii="Verdana" w:hAnsi="Verdana"/>
    </w:rPr>
  </w:style>
  <w:style w:type="character" w:styleId="LineNumber">
    <w:name w:val="line number"/>
    <w:basedOn w:val="DefaultParagraphFont"/>
    <w:uiPriority w:val="99"/>
    <w:semiHidden/>
    <w:unhideWhenUsed/>
    <w:rsid w:val="00396822"/>
  </w:style>
  <w:style w:type="paragraph" w:customStyle="1" w:styleId="EndNoteBibliographyTitle">
    <w:name w:val="EndNote Bibliography Title"/>
    <w:basedOn w:val="Normal"/>
    <w:link w:val="EndNoteBibliographyTitleChar"/>
    <w:rsid w:val="0039682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96822"/>
    <w:rPr>
      <w:rFonts w:ascii="Verdana" w:hAnsi="Verdana"/>
      <w:noProof/>
      <w:lang w:val="en-US"/>
    </w:rPr>
  </w:style>
  <w:style w:type="paragraph" w:customStyle="1" w:styleId="EndNoteBibliography">
    <w:name w:val="EndNote Bibliography"/>
    <w:basedOn w:val="Normal"/>
    <w:link w:val="EndNoteBibliographyChar"/>
    <w:rsid w:val="00396822"/>
    <w:pPr>
      <w:spacing w:line="240" w:lineRule="auto"/>
    </w:pPr>
    <w:rPr>
      <w:noProof/>
      <w:lang w:val="en-US"/>
    </w:rPr>
  </w:style>
  <w:style w:type="character" w:customStyle="1" w:styleId="EndNoteBibliographyChar">
    <w:name w:val="EndNote Bibliography Char"/>
    <w:basedOn w:val="DefaultParagraphFont"/>
    <w:link w:val="EndNoteBibliography"/>
    <w:rsid w:val="00396822"/>
    <w:rPr>
      <w:rFonts w:ascii="Verdana" w:hAnsi="Verdana"/>
      <w:noProof/>
      <w:lang w:val="en-US"/>
    </w:rPr>
  </w:style>
  <w:style w:type="character" w:customStyle="1" w:styleId="apple-converted-space">
    <w:name w:val="apple-converted-space"/>
    <w:basedOn w:val="DefaultParagraphFont"/>
    <w:rsid w:val="00F0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Stavert</dc:creator>
  <cp:keywords/>
  <dc:description/>
  <cp:lastModifiedBy>Jamie Stavert</cp:lastModifiedBy>
  <cp:revision>9</cp:revision>
  <dcterms:created xsi:type="dcterms:W3CDTF">2016-06-13T04:48:00Z</dcterms:created>
  <dcterms:modified xsi:type="dcterms:W3CDTF">2016-09-06T01:36:00Z</dcterms:modified>
</cp:coreProperties>
</file>