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0B5CE" w14:textId="00A40D37" w:rsidR="00B7136B" w:rsidRDefault="00B7136B" w:rsidP="00B7136B">
      <w:pPr>
        <w:spacing w:line="480" w:lineRule="auto"/>
        <w:rPr>
          <w:b/>
        </w:rPr>
      </w:pPr>
      <w:r>
        <w:rPr>
          <w:b/>
        </w:rPr>
        <w:t>S</w:t>
      </w:r>
      <w:r w:rsidR="001300C1">
        <w:rPr>
          <w:b/>
        </w:rPr>
        <w:t>upplemental Material</w:t>
      </w:r>
    </w:p>
    <w:p w14:paraId="3F7C154A" w14:textId="589EF7DA" w:rsidR="00A1484F" w:rsidRPr="001300C1" w:rsidRDefault="001300C1" w:rsidP="00B7136B">
      <w:pPr>
        <w:spacing w:line="480" w:lineRule="auto"/>
        <w:rPr>
          <w:i/>
        </w:rPr>
      </w:pPr>
      <w:r>
        <w:rPr>
          <w:i/>
        </w:rPr>
        <w:t>Materials and Methods</w:t>
      </w:r>
    </w:p>
    <w:p w14:paraId="559FFFCD" w14:textId="79038093" w:rsidR="00207451" w:rsidRDefault="00DC5E81" w:rsidP="00B7136B">
      <w:pPr>
        <w:spacing w:line="480" w:lineRule="auto"/>
        <w:ind w:firstLine="720"/>
      </w:pPr>
      <w:r>
        <w:t>Sample</w:t>
      </w:r>
      <w:r w:rsidR="005F0063">
        <w:t>s</w:t>
      </w:r>
      <w:r w:rsidR="00207451">
        <w:t xml:space="preserve"> were collected at three-</w:t>
      </w:r>
      <w:r>
        <w:t xml:space="preserve">week intervals </w:t>
      </w:r>
      <w:r w:rsidR="003D211B">
        <w:t>near</w:t>
      </w:r>
      <w:r>
        <w:t xml:space="preserve"> </w:t>
      </w:r>
      <w:r w:rsidR="0008487E">
        <w:t xml:space="preserve">Hanford 300A </w:t>
      </w:r>
      <w:r w:rsidR="00A1484F" w:rsidRPr="00A1484F">
        <w:t xml:space="preserve">from March through November </w:t>
      </w:r>
      <w:r w:rsidR="00A1484F" w:rsidRPr="004854A6">
        <w:t>2014. This sampling schedule</w:t>
      </w:r>
      <w:r w:rsidR="00A1484F" w:rsidRPr="00A1484F">
        <w:t xml:space="preserve"> encompassed the elevated river stages in the late spring, when </w:t>
      </w:r>
      <w:r w:rsidR="00E11561">
        <w:t>surface water intrusion into ground</w:t>
      </w:r>
      <w:r w:rsidR="00A1484F" w:rsidRPr="00A1484F">
        <w:t xml:space="preserve">water occurs, and the subsequent decline in river stage during late summer and fall. The </w:t>
      </w:r>
      <w:proofErr w:type="spellStart"/>
      <w:r w:rsidR="00207451">
        <w:t>near</w:t>
      </w:r>
      <w:r w:rsidR="004854A6">
        <w:t>shore</w:t>
      </w:r>
      <w:proofErr w:type="spellEnd"/>
      <w:r w:rsidR="00207451">
        <w:t xml:space="preserve"> hyporheic</w:t>
      </w:r>
      <w:r w:rsidR="00A1484F" w:rsidRPr="00A1484F">
        <w:t xml:space="preserve"> </w:t>
      </w:r>
      <w:proofErr w:type="gramStart"/>
      <w:r w:rsidR="00A1484F" w:rsidRPr="00A1484F">
        <w:t xml:space="preserve">zone was sampled from 4 fully screened stainless steel </w:t>
      </w:r>
      <w:r w:rsidR="00A1484F" w:rsidRPr="005D071F">
        <w:t>piezometers</w:t>
      </w:r>
      <w:r w:rsidR="00207451">
        <w:t xml:space="preserve"> as described below and form</w:t>
      </w:r>
      <w:proofErr w:type="gramEnd"/>
      <w:r w:rsidR="00207451">
        <w:t xml:space="preserve"> the basis of all analys</w:t>
      </w:r>
      <w:r w:rsidR="00C64DC0">
        <w:t>e</w:t>
      </w:r>
      <w:r w:rsidR="00207451">
        <w:t>s</w:t>
      </w:r>
      <w:r w:rsidR="005D071F" w:rsidRPr="005D071F">
        <w:t xml:space="preserve"> (</w:t>
      </w:r>
      <w:r w:rsidR="005D071F" w:rsidRPr="000B7071">
        <w:t>1.2m screen length and 5.25cm inside diam</w:t>
      </w:r>
      <w:r w:rsidR="00E11561">
        <w:t>eter (MAAS Midwest, Huntley, IL)</w:t>
      </w:r>
      <w:r w:rsidR="007F1F0B">
        <w:t>)</w:t>
      </w:r>
      <w:r w:rsidR="005D071F" w:rsidRPr="000B7071">
        <w:t xml:space="preserve">. </w:t>
      </w:r>
    </w:p>
    <w:p w14:paraId="16497C4C" w14:textId="029017EF" w:rsidR="00A1484F" w:rsidRPr="00A1484F" w:rsidRDefault="00207451" w:rsidP="00B7136B">
      <w:pPr>
        <w:spacing w:line="480" w:lineRule="auto"/>
        <w:ind w:firstLine="720"/>
      </w:pPr>
      <w:r>
        <w:t xml:space="preserve">In addition, microbial communities for null model realizations were derived from inland groundwater and river samples obtained simultaneously and processed in conjunction with </w:t>
      </w:r>
      <w:proofErr w:type="spellStart"/>
      <w:r>
        <w:t>nearshore</w:t>
      </w:r>
      <w:proofErr w:type="spellEnd"/>
      <w:r>
        <w:t xml:space="preserve"> hyporheic zone samples. The inclusion of these samples accounts for dispersal of </w:t>
      </w:r>
      <w:proofErr w:type="gramStart"/>
      <w:r>
        <w:t>microorganisms</w:t>
      </w:r>
      <w:proofErr w:type="gramEnd"/>
      <w:r>
        <w:t xml:space="preserve"> into the </w:t>
      </w:r>
      <w:proofErr w:type="spellStart"/>
      <w:r>
        <w:t>nearshore</w:t>
      </w:r>
      <w:proofErr w:type="spellEnd"/>
      <w:r>
        <w:t xml:space="preserve"> zone via nearby </w:t>
      </w:r>
      <w:proofErr w:type="spellStart"/>
      <w:r>
        <w:t>hydrologically</w:t>
      </w:r>
      <w:proofErr w:type="spellEnd"/>
      <w:r>
        <w:t xml:space="preserve"> interconnected geographic areas. Inland samples were obtained from 4</w:t>
      </w:r>
      <w:r w:rsidRPr="00A1484F">
        <w:t xml:space="preserve"> </w:t>
      </w:r>
      <w:r>
        <w:t xml:space="preserve">inland </w:t>
      </w:r>
      <w:r w:rsidRPr="00A1484F">
        <w:t xml:space="preserve">monitoring wells, located </w:t>
      </w:r>
      <w:r w:rsidRPr="00E44515">
        <w:t>approximately 250 meters</w:t>
      </w:r>
      <w:r w:rsidRPr="00A1484F">
        <w:t xml:space="preserve"> from the riparian zone. These wells are screened across the top of</w:t>
      </w:r>
      <w:r>
        <w:t xml:space="preserve"> the subsurface aquifer</w:t>
      </w:r>
      <w:r w:rsidRPr="00A1484F">
        <w:t>.</w:t>
      </w:r>
      <w:r>
        <w:t xml:space="preserve"> </w:t>
      </w:r>
      <w:r w:rsidR="00A1484F" w:rsidRPr="005D071F">
        <w:t>River water w</w:t>
      </w:r>
      <w:r w:rsidR="00A1484F" w:rsidRPr="00A1484F">
        <w:t xml:space="preserve">as sampled </w:t>
      </w:r>
      <w:r w:rsidR="00E11561">
        <w:t>adjacent to the piezometers</w:t>
      </w:r>
      <w:r w:rsidR="00A1484F" w:rsidRPr="00A1484F">
        <w:t>.</w:t>
      </w:r>
      <w:r w:rsidR="002A1FD6">
        <w:t xml:space="preserve"> </w:t>
      </w:r>
      <w:r w:rsidR="00E11561">
        <w:t>Aqueous</w:t>
      </w:r>
      <w:r w:rsidR="00A1484F" w:rsidRPr="00A1484F">
        <w:t xml:space="preserve"> samples from the </w:t>
      </w:r>
      <w:proofErr w:type="spellStart"/>
      <w:r w:rsidR="00E11561">
        <w:t>nearshore</w:t>
      </w:r>
      <w:proofErr w:type="spellEnd"/>
      <w:r w:rsidR="00A1484F" w:rsidRPr="00A1484F">
        <w:t xml:space="preserve"> and river</w:t>
      </w:r>
      <w:r w:rsidR="00E11561">
        <w:t xml:space="preserve"> zones</w:t>
      </w:r>
      <w:r w:rsidR="00A1484F" w:rsidRPr="00A1484F">
        <w:t xml:space="preserve"> were taken using a peristaltic pump, and the </w:t>
      </w:r>
      <w:r w:rsidR="004854A6">
        <w:t>inland wells</w:t>
      </w:r>
      <w:r w:rsidR="00A1484F" w:rsidRPr="00A1484F">
        <w:t xml:space="preserve"> sampled using a submersible pump.</w:t>
      </w:r>
    </w:p>
    <w:p w14:paraId="1C321CDE" w14:textId="77777777" w:rsidR="00A1484F" w:rsidRPr="00A1484F" w:rsidRDefault="00A1484F" w:rsidP="00B7136B">
      <w:pPr>
        <w:spacing w:line="480" w:lineRule="auto"/>
      </w:pPr>
    </w:p>
    <w:p w14:paraId="0D35DF8B" w14:textId="12566244" w:rsidR="007179C4" w:rsidRDefault="00A1484F" w:rsidP="00B7136B">
      <w:pPr>
        <w:spacing w:line="480" w:lineRule="auto"/>
      </w:pPr>
      <w:r w:rsidRPr="00A52C26">
        <w:rPr>
          <w:i/>
        </w:rPr>
        <w:t>Sampling</w:t>
      </w:r>
      <w:r w:rsidR="001658D7">
        <w:rPr>
          <w:i/>
        </w:rPr>
        <w:t xml:space="preserve"> of attached communities</w:t>
      </w:r>
    </w:p>
    <w:p w14:paraId="7778B731" w14:textId="0DD5584A" w:rsidR="007179C4" w:rsidRDefault="007179C4" w:rsidP="00B7136B">
      <w:pPr>
        <w:spacing w:line="480" w:lineRule="auto"/>
        <w:ind w:firstLine="720"/>
      </w:pPr>
      <w:r w:rsidRPr="00A1484F">
        <w:t xml:space="preserve">Sand microcosms were constructed using </w:t>
      </w:r>
      <w:r w:rsidR="007C1920">
        <w:t>~</w:t>
      </w:r>
      <w:r w:rsidRPr="00A1484F">
        <w:t>80 cm</w:t>
      </w:r>
      <w:r w:rsidRPr="00A1484F">
        <w:rPr>
          <w:vertAlign w:val="superscript"/>
        </w:rPr>
        <w:t>3</w:t>
      </w:r>
      <w:r w:rsidRPr="00A1484F">
        <w:t xml:space="preserve"> Hanford formation medium grade sand (</w:t>
      </w:r>
      <w:r w:rsidR="00742A9A">
        <w:t>&gt;0.</w:t>
      </w:r>
      <w:r w:rsidR="00742A9A" w:rsidRPr="00F64B75">
        <w:t>425</w:t>
      </w:r>
      <w:r w:rsidR="00742A9A">
        <w:t>m</w:t>
      </w:r>
      <w:r w:rsidR="00742A9A" w:rsidRPr="00F64B75">
        <w:t>m</w:t>
      </w:r>
      <w:r w:rsidR="00742A9A">
        <w:t xml:space="preserve"> &lt;1.7mm, </w:t>
      </w:r>
      <w:r w:rsidRPr="00A1484F">
        <w:t>Central Pre-Mix, Pasco, WA) in a modified 2 x 4.5”, 18/8 mesh stainless steel infuser (R.S.V.P. International Inc. Seattle, WA) plugged with Pyrex fiber</w:t>
      </w:r>
      <w:r w:rsidR="004854A6">
        <w:t xml:space="preserve"> glass (Corning Inc. Corning, NT</w:t>
      </w:r>
      <w:r w:rsidRPr="00A1484F">
        <w:t>) and combusted at 450</w:t>
      </w:r>
      <w:r w:rsidR="00A52C26" w:rsidRPr="00A1484F">
        <w:rPr>
          <w:vertAlign w:val="superscript"/>
        </w:rPr>
        <w:t>o</w:t>
      </w:r>
      <w:r w:rsidRPr="00A1484F">
        <w:t>C for 8</w:t>
      </w:r>
      <w:r w:rsidR="004854A6">
        <w:t>hr.</w:t>
      </w:r>
      <w:r w:rsidRPr="00A1484F">
        <w:t xml:space="preserve">  Sand </w:t>
      </w:r>
      <w:r w:rsidR="004854A6">
        <w:t>packs</w:t>
      </w:r>
      <w:r w:rsidRPr="00A1484F">
        <w:t xml:space="preserve"> were deployed in pairs </w:t>
      </w:r>
      <w:r w:rsidRPr="00A1484F">
        <w:lastRenderedPageBreak/>
        <w:t>within the wells and piezometers every 3 weeks, with sets being harvested after 6 weeks, such that two pairs had overlapping incubation periods.</w:t>
      </w:r>
    </w:p>
    <w:p w14:paraId="28FAFA09" w14:textId="15E8EBE2" w:rsidR="00A1484F" w:rsidRDefault="007179C4" w:rsidP="00B7136B">
      <w:pPr>
        <w:spacing w:line="480" w:lineRule="auto"/>
        <w:ind w:firstLine="720"/>
      </w:pPr>
      <w:r>
        <w:t>Upon collection, s</w:t>
      </w:r>
      <w:r w:rsidR="00A1484F" w:rsidRPr="00A1484F">
        <w:t xml:space="preserve">and </w:t>
      </w:r>
      <w:r w:rsidR="004854A6">
        <w:t>packs</w:t>
      </w:r>
      <w:r w:rsidR="00A1484F" w:rsidRPr="00A1484F">
        <w:t xml:space="preserve"> were pooled into a combusted stainless steel pan (450</w:t>
      </w:r>
      <w:r w:rsidR="004854A6" w:rsidRPr="00A1484F">
        <w:rPr>
          <w:vertAlign w:val="superscript"/>
        </w:rPr>
        <w:t>o</w:t>
      </w:r>
      <w:r w:rsidR="004854A6">
        <w:t>C for 8hr</w:t>
      </w:r>
      <w:r w:rsidR="00A1484F" w:rsidRPr="00A1484F">
        <w:t>) and homo</w:t>
      </w:r>
      <w:r w:rsidR="007C1920">
        <w:t>g</w:t>
      </w:r>
      <w:r w:rsidR="00A1484F" w:rsidRPr="00A1484F">
        <w:t>enized with a combusted stainless steel scoop before subsampling approximately10</w:t>
      </w:r>
      <w:r w:rsidR="004854A6">
        <w:t>mL</w:t>
      </w:r>
      <w:r w:rsidR="00927045">
        <w:t xml:space="preserve"> into each of 4</w:t>
      </w:r>
      <w:r w:rsidR="00A1484F" w:rsidRPr="00A1484F">
        <w:t xml:space="preserve"> 50</w:t>
      </w:r>
      <w:r w:rsidR="004854A6">
        <w:t>-mL</w:t>
      </w:r>
      <w:r w:rsidR="00A1484F" w:rsidRPr="00A1484F">
        <w:t xml:space="preserve"> polypropylene tubes (Corning Inc. Corning, NY) for DNA analysis.</w:t>
      </w:r>
      <w:r w:rsidR="002A1FD6">
        <w:t xml:space="preserve"> </w:t>
      </w:r>
      <w:r w:rsidR="00A1484F" w:rsidRPr="00A1484F">
        <w:t>These tubes were placed in whirl-</w:t>
      </w:r>
      <w:proofErr w:type="spellStart"/>
      <w:r w:rsidR="00A1484F" w:rsidRPr="00A1484F">
        <w:t>pak</w:t>
      </w:r>
      <w:proofErr w:type="spellEnd"/>
      <w:r w:rsidR="00A1484F" w:rsidRPr="00A1484F">
        <w:t xml:space="preserve"> bags (</w:t>
      </w:r>
      <w:proofErr w:type="spellStart"/>
      <w:r w:rsidR="00A1484F" w:rsidRPr="00A1484F">
        <w:t>Nasco</w:t>
      </w:r>
      <w:proofErr w:type="spellEnd"/>
      <w:r w:rsidR="00A1484F" w:rsidRPr="00A1484F">
        <w:t xml:space="preserve"> WHIRL-PAK,</w:t>
      </w:r>
      <w:r w:rsidR="00175810">
        <w:t xml:space="preserve"> </w:t>
      </w:r>
      <w:proofErr w:type="spellStart"/>
      <w:r w:rsidR="00642053">
        <w:t>Salida</w:t>
      </w:r>
      <w:proofErr w:type="spellEnd"/>
      <w:r w:rsidR="00642053">
        <w:t>, CA</w:t>
      </w:r>
      <w:r w:rsidR="00A1484F" w:rsidRPr="00A1484F">
        <w:t>) and flash frozen in a dry ice/ethanol bath before being stored in the field on</w:t>
      </w:r>
      <w:r w:rsidR="00A52C26">
        <w:t xml:space="preserve"> dry ice, and in the lab at -80</w:t>
      </w:r>
      <w:r w:rsidR="00A1484F" w:rsidRPr="00A1484F">
        <w:rPr>
          <w:vertAlign w:val="superscript"/>
        </w:rPr>
        <w:t>o</w:t>
      </w:r>
      <w:r w:rsidR="00A1484F" w:rsidRPr="00A1484F">
        <w:t>C</w:t>
      </w:r>
      <w:r w:rsidR="00175810">
        <w:t xml:space="preserve">. </w:t>
      </w:r>
      <w:r w:rsidR="00927045">
        <w:t xml:space="preserve"> Four</w:t>
      </w:r>
      <w:r w:rsidR="00A1484F" w:rsidRPr="00A1484F">
        <w:t xml:space="preserve"> ~ 3</w:t>
      </w:r>
      <w:r w:rsidR="004854A6">
        <w:t>mL</w:t>
      </w:r>
      <w:r w:rsidR="00A1484F" w:rsidRPr="00A1484F">
        <w:t xml:space="preserve"> sand subsamples were collected for </w:t>
      </w:r>
      <w:proofErr w:type="spellStart"/>
      <w:r w:rsidR="00A1484F" w:rsidRPr="00A1484F">
        <w:t>resazurin</w:t>
      </w:r>
      <w:proofErr w:type="spellEnd"/>
      <w:r w:rsidR="00A1484F" w:rsidRPr="00A1484F">
        <w:t xml:space="preserve"> reduction incubations with a sterile cutoff 5</w:t>
      </w:r>
      <w:r w:rsidR="004854A6">
        <w:t>-mL</w:t>
      </w:r>
      <w:r w:rsidR="00A1484F" w:rsidRPr="00A1484F">
        <w:t xml:space="preserve"> syringe</w:t>
      </w:r>
      <w:r w:rsidR="007C1920">
        <w:t xml:space="preserve"> (Becton Dickinson Co. </w:t>
      </w:r>
      <w:r w:rsidR="007C1920" w:rsidRPr="00A1484F">
        <w:t>Franklin, NJ)</w:t>
      </w:r>
      <w:r w:rsidR="00A1484F" w:rsidRPr="00A1484F">
        <w:t xml:space="preserve"> into pre-weighed, 20</w:t>
      </w:r>
      <w:r w:rsidR="004854A6">
        <w:t>-mL</w:t>
      </w:r>
      <w:r w:rsidR="00A1484F" w:rsidRPr="00A1484F">
        <w:t xml:space="preserve"> amber vials (</w:t>
      </w:r>
      <w:proofErr w:type="spellStart"/>
      <w:r w:rsidR="00A1484F" w:rsidRPr="00A1484F">
        <w:t>Thermoscientific</w:t>
      </w:r>
      <w:proofErr w:type="spellEnd"/>
      <w:r w:rsidR="00A1484F" w:rsidRPr="00A1484F">
        <w:t xml:space="preserve"> </w:t>
      </w:r>
      <w:r w:rsidR="003B0329">
        <w:t>Miami,</w:t>
      </w:r>
      <w:r w:rsidR="00927045">
        <w:t xml:space="preserve"> </w:t>
      </w:r>
      <w:r w:rsidR="003B0329">
        <w:t>OK</w:t>
      </w:r>
      <w:r w:rsidR="00927045">
        <w:t>).</w:t>
      </w:r>
      <w:r w:rsidR="00A1484F" w:rsidRPr="00A1484F">
        <w:t xml:space="preserve"> </w:t>
      </w:r>
      <w:r w:rsidR="00927045">
        <w:t>T</w:t>
      </w:r>
      <w:r w:rsidR="00175810">
        <w:t>hen</w:t>
      </w:r>
      <w:r w:rsidR="00927045">
        <w:t>,</w:t>
      </w:r>
      <w:r w:rsidR="00175810">
        <w:t xml:space="preserve"> </w:t>
      </w:r>
      <w:r w:rsidR="00A1484F" w:rsidRPr="00A1484F">
        <w:t>3</w:t>
      </w:r>
      <w:r w:rsidR="004854A6">
        <w:t>mL</w:t>
      </w:r>
      <w:r w:rsidR="00A1484F" w:rsidRPr="00A1484F">
        <w:t xml:space="preserve"> filtered water was added</w:t>
      </w:r>
      <w:r w:rsidR="00927045">
        <w:t>, and the vials</w:t>
      </w:r>
      <w:r w:rsidR="00A1484F" w:rsidRPr="00A1484F">
        <w:t xml:space="preserve"> were stored on ice</w:t>
      </w:r>
      <w:r w:rsidR="00175810">
        <w:t xml:space="preserve"> and later in the lab at 4</w:t>
      </w:r>
      <w:r w:rsidR="00175810" w:rsidRPr="00A1484F">
        <w:rPr>
          <w:vertAlign w:val="superscript"/>
        </w:rPr>
        <w:t>o</w:t>
      </w:r>
      <w:r w:rsidR="00175810" w:rsidRPr="00A1484F">
        <w:t>C</w:t>
      </w:r>
      <w:r w:rsidR="00175810">
        <w:t>.</w:t>
      </w:r>
      <w:r w:rsidR="00A1484F" w:rsidRPr="00A1484F">
        <w:t xml:space="preserve"> Triplicate ~0.2cc sand subsamples were collected for ATP measurements with a sterile cutoff 1</w:t>
      </w:r>
      <w:r w:rsidR="004854A6">
        <w:t>-mL</w:t>
      </w:r>
      <w:r w:rsidR="00A1484F" w:rsidRPr="00A1484F">
        <w:t xml:space="preserve"> syringe and preserved in 0.5</w:t>
      </w:r>
      <w:r w:rsidR="004854A6">
        <w:t>mL</w:t>
      </w:r>
      <w:r w:rsidR="00A1484F" w:rsidRPr="00A1484F">
        <w:t xml:space="preserve"> 20mM EDTA (pH 7.4) in 2</w:t>
      </w:r>
      <w:r w:rsidR="00927045">
        <w:t>-</w:t>
      </w:r>
      <w:r w:rsidR="004854A6">
        <w:t>mL</w:t>
      </w:r>
      <w:r w:rsidR="00A1484F" w:rsidRPr="00A1484F">
        <w:t xml:space="preserve"> </w:t>
      </w:r>
      <w:proofErr w:type="spellStart"/>
      <w:r w:rsidR="00A1484F" w:rsidRPr="00A1484F">
        <w:t>cryovials</w:t>
      </w:r>
      <w:proofErr w:type="spellEnd"/>
      <w:r w:rsidR="00A1484F" w:rsidRPr="00A1484F">
        <w:t>, froz</w:t>
      </w:r>
      <w:r w:rsidR="00A52C26">
        <w:t>en on dry ice and stored at -20</w:t>
      </w:r>
      <w:r w:rsidR="00A1484F" w:rsidRPr="00A1484F">
        <w:rPr>
          <w:vertAlign w:val="superscript"/>
        </w:rPr>
        <w:t>o</w:t>
      </w:r>
      <w:r w:rsidR="00A1484F" w:rsidRPr="00A1484F">
        <w:t xml:space="preserve">C. Remaining sand in the tray was transferred to a </w:t>
      </w:r>
      <w:r w:rsidR="004854A6">
        <w:t>50-mL</w:t>
      </w:r>
      <w:r w:rsidR="00A1484F" w:rsidRPr="00A1484F">
        <w:t xml:space="preserve"> polypropylene tube with a sterile plastic scoop and </w:t>
      </w:r>
      <w:r w:rsidR="00642053" w:rsidRPr="00A1484F">
        <w:t>preserved</w:t>
      </w:r>
      <w:r w:rsidR="00A1484F" w:rsidRPr="00A1484F">
        <w:t xml:space="preserve"> as previously described for DNA samples </w:t>
      </w:r>
    </w:p>
    <w:p w14:paraId="7F3CDC93" w14:textId="77777777" w:rsidR="00175810" w:rsidRPr="00A1484F" w:rsidRDefault="00175810" w:rsidP="00B7136B">
      <w:pPr>
        <w:spacing w:line="480" w:lineRule="auto"/>
      </w:pPr>
    </w:p>
    <w:p w14:paraId="3F56E723" w14:textId="67EACB79" w:rsidR="00A1484F" w:rsidRPr="00A52C26" w:rsidRDefault="001658D7" w:rsidP="00B7136B">
      <w:pPr>
        <w:spacing w:line="480" w:lineRule="auto"/>
        <w:rPr>
          <w:i/>
        </w:rPr>
      </w:pPr>
      <w:r>
        <w:rPr>
          <w:i/>
        </w:rPr>
        <w:t>Aqueous</w:t>
      </w:r>
      <w:r w:rsidR="00A1484F" w:rsidRPr="00A52C26">
        <w:rPr>
          <w:i/>
        </w:rPr>
        <w:t xml:space="preserve"> Sampling</w:t>
      </w:r>
    </w:p>
    <w:p w14:paraId="792210B5" w14:textId="78F6A37E" w:rsidR="00D50C1F" w:rsidRDefault="00A1484F" w:rsidP="00B7136B">
      <w:pPr>
        <w:spacing w:line="480" w:lineRule="auto"/>
        <w:ind w:firstLine="720"/>
      </w:pPr>
      <w:r w:rsidRPr="00A1484F">
        <w:t>At each</w:t>
      </w:r>
      <w:r w:rsidR="003201AF">
        <w:t xml:space="preserve"> well</w:t>
      </w:r>
      <w:r w:rsidRPr="00A1484F">
        <w:t xml:space="preserve"> location, pumps were deployed and lines purged with water </w:t>
      </w:r>
      <w:r w:rsidR="00927045">
        <w:t>for 15 min</w:t>
      </w:r>
      <w:r w:rsidRPr="00A1484F">
        <w:t>. Flow rates, purge volumes pump controller settings were recorded. After initial purge and prior to the installation</w:t>
      </w:r>
      <w:r w:rsidR="00A142E0">
        <w:t xml:space="preserve"> </w:t>
      </w:r>
      <w:r w:rsidRPr="00A1484F">
        <w:t xml:space="preserve">of </w:t>
      </w:r>
      <w:proofErr w:type="spellStart"/>
      <w:r w:rsidRPr="00A1484F">
        <w:t>Sterivex</w:t>
      </w:r>
      <w:proofErr w:type="spellEnd"/>
      <w:r w:rsidRPr="00A1484F">
        <w:t xml:space="preserve"> filters, </w:t>
      </w:r>
      <w:r w:rsidR="00927045">
        <w:t>the manifold was purged water for ~1 min</w:t>
      </w:r>
      <w:r w:rsidRPr="00A1484F">
        <w:t xml:space="preserve">. </w:t>
      </w:r>
      <w:r w:rsidR="003201AF" w:rsidRPr="00B10720">
        <w:t>At each piezometer location, perista</w:t>
      </w:r>
      <w:r w:rsidR="006A76CC" w:rsidRPr="00B10720">
        <w:t>l</w:t>
      </w:r>
      <w:r w:rsidR="003201AF" w:rsidRPr="00B10720">
        <w:t>tic pumps were deployed and</w:t>
      </w:r>
      <w:r w:rsidR="007C1920">
        <w:t xml:space="preserve"> </w:t>
      </w:r>
      <w:r w:rsidR="007C1920" w:rsidRPr="00B10720">
        <w:t>manifolds</w:t>
      </w:r>
      <w:r w:rsidR="003201AF" w:rsidRPr="00B10720">
        <w:t xml:space="preserve"> purged </w:t>
      </w:r>
      <w:r w:rsidR="00146DC9">
        <w:t>with water for 10-15 minutes</w:t>
      </w:r>
      <w:r w:rsidR="003201AF" w:rsidRPr="00B10720">
        <w:t xml:space="preserve">. </w:t>
      </w:r>
      <w:r w:rsidR="003201AF">
        <w:t>At both well and piezometer locations w</w:t>
      </w:r>
      <w:r w:rsidRPr="00A1484F">
        <w:t>ater was pumped through</w:t>
      </w:r>
      <w:r w:rsidR="00175810">
        <w:t xml:space="preserve"> </w:t>
      </w:r>
      <w:r w:rsidRPr="00A1484F">
        <w:t>0</w:t>
      </w:r>
      <w:proofErr w:type="gramStart"/>
      <w:r w:rsidRPr="00A1484F">
        <w:t>.22 µ</w:t>
      </w:r>
      <w:proofErr w:type="gramEnd"/>
      <w:r w:rsidRPr="00A1484F">
        <w:t xml:space="preserve">m </w:t>
      </w:r>
      <w:proofErr w:type="spellStart"/>
      <w:r w:rsidRPr="00A1484F">
        <w:t>polyethersulfone</w:t>
      </w:r>
      <w:proofErr w:type="spellEnd"/>
      <w:r w:rsidRPr="00A1484F">
        <w:t xml:space="preserve"> </w:t>
      </w:r>
      <w:proofErr w:type="spellStart"/>
      <w:r w:rsidRPr="00A1484F">
        <w:t>Sterivex</w:t>
      </w:r>
      <w:proofErr w:type="spellEnd"/>
      <w:r w:rsidRPr="00A1484F">
        <w:t xml:space="preserve"> filters (Millipore Co. Billerica, MA) for 30 minutes. </w:t>
      </w:r>
      <w:proofErr w:type="spellStart"/>
      <w:r w:rsidRPr="00A1484F">
        <w:t>Sterivex</w:t>
      </w:r>
      <w:proofErr w:type="spellEnd"/>
      <w:r w:rsidRPr="00A1484F">
        <w:t xml:space="preserve"> filters </w:t>
      </w:r>
      <w:r w:rsidRPr="00A1484F">
        <w:lastRenderedPageBreak/>
        <w:t>were removed from the manifold and retained water was pushed through with a sterile 30</w:t>
      </w:r>
      <w:r w:rsidR="004854A6">
        <w:t>-mL</w:t>
      </w:r>
      <w:r w:rsidRPr="00A1484F">
        <w:t xml:space="preserve"> syringe before storage on dry ice in Whirl-</w:t>
      </w:r>
      <w:proofErr w:type="spellStart"/>
      <w:r w:rsidRPr="00A1484F">
        <w:t>pak</w:t>
      </w:r>
      <w:proofErr w:type="spellEnd"/>
      <w:r w:rsidRPr="00A1484F">
        <w:t xml:space="preserve"> bags</w:t>
      </w:r>
      <w:r w:rsidR="00D50C1F">
        <w:t xml:space="preserve"> </w:t>
      </w:r>
      <w:r w:rsidR="00A52C26">
        <w:t>and later at -80</w:t>
      </w:r>
      <w:r w:rsidRPr="00A1484F">
        <w:rPr>
          <w:vertAlign w:val="superscript"/>
        </w:rPr>
        <w:t>o</w:t>
      </w:r>
      <w:r w:rsidRPr="00A1484F">
        <w:t xml:space="preserve">C. </w:t>
      </w:r>
      <w:proofErr w:type="spellStart"/>
      <w:r w:rsidRPr="00A1484F">
        <w:t>Sterivex</w:t>
      </w:r>
      <w:proofErr w:type="spellEnd"/>
      <w:r w:rsidRPr="00A1484F">
        <w:t xml:space="preserve"> filtered water was used sampled for water chemistry. </w:t>
      </w:r>
    </w:p>
    <w:p w14:paraId="03EE0894" w14:textId="7E76A25D" w:rsidR="00A1484F" w:rsidRPr="00A1484F" w:rsidRDefault="00A1484F" w:rsidP="00B7136B">
      <w:pPr>
        <w:spacing w:line="480" w:lineRule="auto"/>
        <w:ind w:firstLine="720"/>
      </w:pPr>
      <w:r w:rsidRPr="00A1484F">
        <w:t>Three samples for anions, dissolved organic</w:t>
      </w:r>
      <w:r w:rsidR="002A1FD6">
        <w:t>,</w:t>
      </w:r>
      <w:r w:rsidRPr="00A1484F">
        <w:t xml:space="preserve"> and inorganic carbon (NPOC, DIC) were collected into pre-cleaned 40</w:t>
      </w:r>
      <w:r w:rsidR="004854A6">
        <w:t>-mL</w:t>
      </w:r>
      <w:r w:rsidRPr="00A1484F">
        <w:t xml:space="preserve"> glass vials (</w:t>
      </w:r>
      <w:proofErr w:type="spellStart"/>
      <w:r w:rsidRPr="00A1484F">
        <w:t>Thermoscientific</w:t>
      </w:r>
      <w:proofErr w:type="spellEnd"/>
      <w:r w:rsidR="003B0329">
        <w:t>, Rockwood</w:t>
      </w:r>
      <w:r w:rsidR="00927045">
        <w:t>,</w:t>
      </w:r>
      <w:r w:rsidR="003B0329">
        <w:t xml:space="preserve"> TN</w:t>
      </w:r>
      <w:r w:rsidRPr="00A1484F">
        <w:t>) at 10</w:t>
      </w:r>
      <w:r w:rsidR="002A1FD6">
        <w:t>-</w:t>
      </w:r>
      <w:r w:rsidRPr="00A1484F">
        <w:t>mi</w:t>
      </w:r>
      <w:r w:rsidR="00A52C26">
        <w:t>nute intervals, and stored at 4</w:t>
      </w:r>
      <w:r w:rsidRPr="00A1484F">
        <w:rPr>
          <w:vertAlign w:val="superscript"/>
        </w:rPr>
        <w:t>o</w:t>
      </w:r>
      <w:r w:rsidRPr="00A1484F">
        <w:t xml:space="preserve">C. These samples were split for ion chromatographic and carbon analysis in the lab. One </w:t>
      </w:r>
      <w:proofErr w:type="spellStart"/>
      <w:r w:rsidRPr="00A1484F">
        <w:t>cation</w:t>
      </w:r>
      <w:proofErr w:type="spellEnd"/>
      <w:r w:rsidRPr="00A1484F">
        <w:t xml:space="preserve"> sample was collected in a pre-acidified</w:t>
      </w:r>
      <w:r w:rsidR="00A52C26">
        <w:t xml:space="preserve"> 15</w:t>
      </w:r>
      <w:r w:rsidR="004854A6">
        <w:t>-mL</w:t>
      </w:r>
      <w:r w:rsidRPr="00A1484F">
        <w:t xml:space="preserve"> polypropylene tube (Becton Dickinson Co., Franklin, </w:t>
      </w:r>
      <w:r w:rsidR="00A52C26">
        <w:t>NJ) and stored at 4</w:t>
      </w:r>
      <w:r w:rsidRPr="00A1484F">
        <w:rPr>
          <w:vertAlign w:val="superscript"/>
        </w:rPr>
        <w:t>o</w:t>
      </w:r>
      <w:r w:rsidRPr="00A1484F">
        <w:t>C. Handheld meters were used to measure wat</w:t>
      </w:r>
      <w:r w:rsidR="00562942">
        <w:t>er temperature and conductivity</w:t>
      </w:r>
      <w:r w:rsidRPr="00A1484F">
        <w:t xml:space="preserve"> (</w:t>
      </w:r>
      <w:proofErr w:type="spellStart"/>
      <w:r w:rsidRPr="00A1484F">
        <w:t>Ultrameter</w:t>
      </w:r>
      <w:proofErr w:type="spellEnd"/>
      <w:r w:rsidRPr="00A1484F">
        <w:t xml:space="preserve"> II, Myro</w:t>
      </w:r>
      <w:r w:rsidR="00927045">
        <w:t>n L Co Carlsbad, CA</w:t>
      </w:r>
      <w:r w:rsidRPr="00A1484F">
        <w:t>)</w:t>
      </w:r>
      <w:r w:rsidR="00927045">
        <w:t>.</w:t>
      </w:r>
      <w:r w:rsidRPr="00A1484F">
        <w:t xml:space="preserve"> Dissolved oxygen and temperature were measured</w:t>
      </w:r>
      <w:r w:rsidR="002A1FD6">
        <w:t xml:space="preserve"> </w:t>
      </w:r>
      <w:r w:rsidRPr="00A1484F">
        <w:t xml:space="preserve">with </w:t>
      </w:r>
      <w:proofErr w:type="gramStart"/>
      <w:r w:rsidR="00466A7E">
        <w:t>a</w:t>
      </w:r>
      <w:proofErr w:type="gramEnd"/>
      <w:r w:rsidR="00466A7E">
        <w:t xml:space="preserve"> </w:t>
      </w:r>
      <w:r w:rsidR="00E44515">
        <w:t>YSI Pro</w:t>
      </w:r>
      <w:r w:rsidR="00A142E0">
        <w:t xml:space="preserve"> </w:t>
      </w:r>
      <w:r w:rsidR="00E44515">
        <w:t>ODO handheld with an optical DO probe</w:t>
      </w:r>
      <w:r w:rsidRPr="00A1484F">
        <w:t xml:space="preserve"> </w:t>
      </w:r>
      <w:r w:rsidRPr="00E44515">
        <w:t>(</w:t>
      </w:r>
      <w:r w:rsidR="00E44515" w:rsidRPr="00E44515">
        <w:t>YSI</w:t>
      </w:r>
      <w:r w:rsidR="00E44515">
        <w:t xml:space="preserve"> Inc. Yellow Springs, OH)</w:t>
      </w:r>
      <w:r w:rsidRPr="00A1484F">
        <w:t>. Unfiltered water was passed through pre-combusted 47</w:t>
      </w:r>
      <w:r w:rsidR="00927045">
        <w:t>-</w:t>
      </w:r>
      <w:r w:rsidRPr="00A1484F">
        <w:t>mm glass-fiber filters (</w:t>
      </w:r>
      <w:proofErr w:type="spellStart"/>
      <w:r w:rsidRPr="00A1484F">
        <w:t>Whatman</w:t>
      </w:r>
      <w:proofErr w:type="spellEnd"/>
      <w:r w:rsidRPr="00A1484F">
        <w:t xml:space="preserve">, GE Healthcare, UK) for quantification of particulate organic carbon (POC). Water volume filtered for POC was </w:t>
      </w:r>
      <w:proofErr w:type="gramStart"/>
      <w:r w:rsidRPr="00A1484F">
        <w:t>quantified,</w:t>
      </w:r>
      <w:proofErr w:type="gramEnd"/>
      <w:r w:rsidRPr="00A1484F">
        <w:t xml:space="preserve"> with a target volume of 5L</w:t>
      </w:r>
      <w:r w:rsidR="00A52C26">
        <w:t>. Filters were stored at -20</w:t>
      </w:r>
      <w:r w:rsidRPr="00A1484F">
        <w:rPr>
          <w:vertAlign w:val="superscript"/>
        </w:rPr>
        <w:t>o</w:t>
      </w:r>
      <w:r w:rsidRPr="00A1484F">
        <w:t>C in plastic p</w:t>
      </w:r>
      <w:r w:rsidR="002A1FD6">
        <w:t>e</w:t>
      </w:r>
      <w:r w:rsidR="00F85B71">
        <w:t>tri</w:t>
      </w:r>
      <w:r w:rsidRPr="00A1484F">
        <w:t>-dishes.</w:t>
      </w:r>
      <w:r w:rsidR="002A1FD6">
        <w:t xml:space="preserve"> </w:t>
      </w:r>
    </w:p>
    <w:p w14:paraId="5DCBC797" w14:textId="77777777" w:rsidR="00A1484F" w:rsidRPr="00A1484F" w:rsidRDefault="00A1484F" w:rsidP="00B7136B">
      <w:pPr>
        <w:spacing w:line="480" w:lineRule="auto"/>
      </w:pPr>
    </w:p>
    <w:p w14:paraId="4F9D3AF5" w14:textId="35589426" w:rsidR="00A1484F" w:rsidRPr="00A1484F" w:rsidRDefault="00A1484F" w:rsidP="00B7136B">
      <w:pPr>
        <w:spacing w:line="480" w:lineRule="auto"/>
      </w:pPr>
      <w:r w:rsidRPr="00A52C26">
        <w:rPr>
          <w:i/>
        </w:rPr>
        <w:t>Analytical methods</w:t>
      </w:r>
      <w:r w:rsidR="002A1FD6" w:rsidRPr="002A1FD6">
        <w:t>.</w:t>
      </w:r>
    </w:p>
    <w:p w14:paraId="5DEBB56C" w14:textId="5B6853C7" w:rsidR="00A1484F" w:rsidRPr="00A1484F" w:rsidRDefault="00A1484F" w:rsidP="00B7136B">
      <w:pPr>
        <w:spacing w:line="480" w:lineRule="auto"/>
        <w:ind w:firstLine="720"/>
      </w:pPr>
      <w:r w:rsidRPr="00A1484F">
        <w:t xml:space="preserve">POC samples were removed from the freezer and air dried in a biological safety cabinet for </w:t>
      </w:r>
      <w:r w:rsidR="00AA20EB">
        <w:t>~</w:t>
      </w:r>
      <w:r w:rsidRPr="00A1484F">
        <w:t>72</w:t>
      </w:r>
      <w:r w:rsidR="004854A6">
        <w:t>hr.</w:t>
      </w:r>
      <w:r w:rsidRPr="00A1484F">
        <w:t xml:space="preserve"> To remove inorganic carbon, filters were placed on pre-baked watch glasses in a glass </w:t>
      </w:r>
      <w:proofErr w:type="spellStart"/>
      <w:r w:rsidRPr="00A1484F">
        <w:t>dessicator</w:t>
      </w:r>
      <w:proofErr w:type="spellEnd"/>
      <w:r w:rsidRPr="00A1484F">
        <w:t xml:space="preserve"> with a beaker of </w:t>
      </w:r>
      <w:r w:rsidR="001E63DC">
        <w:t>5-</w:t>
      </w:r>
      <w:r w:rsidRPr="00A1484F">
        <w:t>10</w:t>
      </w:r>
      <w:r w:rsidR="004854A6">
        <w:t>mL</w:t>
      </w:r>
      <w:r w:rsidRPr="00A1484F">
        <w:t xml:space="preserve"> concentrated </w:t>
      </w:r>
      <w:proofErr w:type="spellStart"/>
      <w:r w:rsidRPr="00A1484F">
        <w:t>HCl</w:t>
      </w:r>
      <w:proofErr w:type="spellEnd"/>
      <w:r w:rsidRPr="00A1484F">
        <w:t>, and sealed under light vacuum for 24hrs</w:t>
      </w:r>
      <w:r w:rsidR="00F85B71">
        <w:t xml:space="preserve"> </w:t>
      </w:r>
      <w:r w:rsidR="00F85B71">
        <w:fldChar w:fldCharType="begin"/>
      </w:r>
      <w:r w:rsidR="00B95A1C">
        <w:instrText xml:space="preserve"> ADDIN EN.CITE &lt;EndNote&gt;&lt;Cite&gt;&lt;Author&gt;Hedges&lt;/Author&gt;&lt;Year&gt;1984&lt;/Year&gt;&lt;RecNum&gt;145&lt;/RecNum&gt;&lt;DisplayText&gt;(Hedges and Stern 1984)&lt;/DisplayText&gt;&lt;record&gt;&lt;rec-number&gt;145&lt;/rec-number&gt;&lt;foreign-keys&gt;&lt;key app="EN" db-id="r5pft5av9ep25hez0eoxp2srxfxpptzds99r" timestamp="1455732160"&gt;145&lt;/key&gt;&lt;/foreign-keys&gt;&lt;ref-type name="Journal Article"&gt;17&lt;/ref-type&gt;&lt;contributors&gt;&lt;authors&gt;&lt;author&gt;Hedges, John I.&lt;/author&gt;&lt;author&gt;Stern, Jeffrey H.&lt;/author&gt;&lt;/authors&gt;&lt;/contributors&gt;&lt;titles&gt;&lt;title&gt;Carbon and nitrogen determinations of c</w:instrText>
      </w:r>
      <w:r w:rsidR="00B95A1C">
        <w:rPr>
          <w:rFonts w:hint="eastAsia"/>
        </w:rPr>
        <w:instrText>arbonate</w:instrText>
      </w:r>
      <w:r w:rsidR="00B95A1C">
        <w:rPr>
          <w:rFonts w:hint="eastAsia"/>
        </w:rPr>
        <w:instrText>‐</w:instrText>
      </w:r>
      <w:r w:rsidR="00B95A1C">
        <w:rPr>
          <w:rFonts w:hint="eastAsia"/>
        </w:rPr>
        <w:instrText>containing solids&lt;/title&gt;&lt;secondary-title&gt;Limnology and Oceanography&lt;/secondary-title&gt;&lt;/titles&gt;&lt;periodical&gt;&lt;full-title&gt;Limnology and Oceanography&lt;/full-title&gt;&lt;/periodical&gt;&lt;pages&gt;657-663&lt;/pages&gt;&lt;volume&gt;29&lt;/volume&gt;&lt;number&gt;3&lt;/number&gt;&lt;dates&gt;&lt;year&gt;198</w:instrText>
      </w:r>
      <w:r w:rsidR="00B95A1C">
        <w:instrText>4&lt;/year&gt;&lt;/dates&gt;&lt;isbn&gt;1939-5590&lt;/isbn&gt;&lt;urls&gt;&lt;/urls&gt;&lt;/record&gt;&lt;/Cite&gt;&lt;/EndNote&gt;</w:instrText>
      </w:r>
      <w:r w:rsidR="00F85B71">
        <w:fldChar w:fldCharType="separate"/>
      </w:r>
      <w:r w:rsidR="00B95A1C">
        <w:rPr>
          <w:noProof/>
        </w:rPr>
        <w:t>(Hedges and Stern 1984)</w:t>
      </w:r>
      <w:r w:rsidR="00F85B71">
        <w:fldChar w:fldCharType="end"/>
      </w:r>
      <w:r w:rsidRPr="00A1484F">
        <w:t>.</w:t>
      </w:r>
      <w:r w:rsidR="002A1FD6">
        <w:t xml:space="preserve"> </w:t>
      </w:r>
      <w:r w:rsidRPr="00A1484F">
        <w:t>Filters were air-dried in a fume hood overnight</w:t>
      </w:r>
      <w:r w:rsidR="002A1FD6">
        <w:t xml:space="preserve"> </w:t>
      </w:r>
      <w:r w:rsidRPr="00A1484F">
        <w:t>then wrapped in 40 x 40 mm silver foil (</w:t>
      </w:r>
      <w:proofErr w:type="spellStart"/>
      <w:r w:rsidRPr="00A1484F">
        <w:t>Elementar</w:t>
      </w:r>
      <w:proofErr w:type="spellEnd"/>
      <w:r w:rsidRPr="00A1484F">
        <w:t xml:space="preserve"> Co, Germany). The silver foil covered POC filters were then wrapped in 50 x 50mm squares of pure tin foil (Elemental Microanalysis, UK) and compressed </w:t>
      </w:r>
      <w:r w:rsidRPr="00A1484F">
        <w:lastRenderedPageBreak/>
        <w:t>to remove air with a manual pressing tool (</w:t>
      </w:r>
      <w:proofErr w:type="spellStart"/>
      <w:r w:rsidRPr="00A1484F">
        <w:t>Elementar</w:t>
      </w:r>
      <w:proofErr w:type="spellEnd"/>
      <w:r w:rsidRPr="00A1484F">
        <w:t xml:space="preserve"> Co</w:t>
      </w:r>
      <w:r w:rsidR="00927045">
        <w:t>.</w:t>
      </w:r>
      <w:r w:rsidRPr="00A1484F">
        <w:t xml:space="preserve">). POC samples were analyzed for C, N &amp; S with an </w:t>
      </w:r>
      <w:proofErr w:type="spellStart"/>
      <w:r w:rsidRPr="00A1484F">
        <w:t>Elementar</w:t>
      </w:r>
      <w:proofErr w:type="spellEnd"/>
      <w:r w:rsidRPr="00A1484F">
        <w:t xml:space="preserve"> </w:t>
      </w:r>
      <w:proofErr w:type="spellStart"/>
      <w:r w:rsidRPr="00A1484F">
        <w:t>vario</w:t>
      </w:r>
      <w:proofErr w:type="spellEnd"/>
      <w:r w:rsidRPr="00A1484F">
        <w:t xml:space="preserve"> EL cube.</w:t>
      </w:r>
    </w:p>
    <w:p w14:paraId="4CF5DC1B" w14:textId="690312E6" w:rsidR="00A1484F" w:rsidRPr="00A1484F" w:rsidRDefault="00DC5E81" w:rsidP="00B7136B">
      <w:pPr>
        <w:spacing w:line="480" w:lineRule="auto"/>
      </w:pPr>
      <w:r>
        <w:tab/>
      </w:r>
      <w:r w:rsidR="00A1484F" w:rsidRPr="00A1484F">
        <w:t>ATP assays were performed</w:t>
      </w:r>
      <w:r w:rsidR="00842325">
        <w:t xml:space="preserve"> on samples derived from </w:t>
      </w:r>
      <w:proofErr w:type="spellStart"/>
      <w:r w:rsidR="00842325">
        <w:t>sandpacks</w:t>
      </w:r>
      <w:proofErr w:type="spellEnd"/>
      <w:r w:rsidR="00A1484F" w:rsidRPr="00A1484F">
        <w:t xml:space="preserve"> using a </w:t>
      </w:r>
      <w:proofErr w:type="spellStart"/>
      <w:proofErr w:type="gramStart"/>
      <w:r w:rsidR="00A1484F" w:rsidRPr="00A1484F">
        <w:t>Bac</w:t>
      </w:r>
      <w:proofErr w:type="spellEnd"/>
      <w:proofErr w:type="gramEnd"/>
      <w:r w:rsidR="00A1484F" w:rsidRPr="00A1484F">
        <w:t xml:space="preserve"> Titer-</w:t>
      </w:r>
      <w:proofErr w:type="spellStart"/>
      <w:r w:rsidR="00A1484F" w:rsidRPr="00A1484F">
        <w:t>Glo</w:t>
      </w:r>
      <w:proofErr w:type="spellEnd"/>
      <w:r w:rsidR="00A1484F" w:rsidRPr="00A1484F">
        <w:t xml:space="preserve"> cell viability assay kit (</w:t>
      </w:r>
      <w:proofErr w:type="spellStart"/>
      <w:r w:rsidR="00A1484F" w:rsidRPr="00A1484F">
        <w:t>Promega</w:t>
      </w:r>
      <w:proofErr w:type="spellEnd"/>
      <w:r w:rsidR="00A1484F" w:rsidRPr="00A1484F">
        <w:t>, Madison, WI.). Samples</w:t>
      </w:r>
      <w:r w:rsidR="00A52C26">
        <w:t xml:space="preserve"> were thawed at 4</w:t>
      </w:r>
      <w:r w:rsidR="00A1484F" w:rsidRPr="00A1484F">
        <w:rPr>
          <w:vertAlign w:val="superscript"/>
        </w:rPr>
        <w:t>o</w:t>
      </w:r>
      <w:r w:rsidR="00A1484F" w:rsidRPr="00A1484F">
        <w:t>C, weighed, and then equilibrated to room temperature for 1hr prior to analysis. 10</w:t>
      </w:r>
      <w:r w:rsidR="004854A6">
        <w:t>mL</w:t>
      </w:r>
      <w:r w:rsidR="00A1484F" w:rsidRPr="00A1484F">
        <w:t xml:space="preserve"> ATP assay reag</w:t>
      </w:r>
      <w:r w:rsidR="00A52C26">
        <w:t>ent components were thawed at 4</w:t>
      </w:r>
      <w:r w:rsidR="00A1484F" w:rsidRPr="00A1484F">
        <w:rPr>
          <w:vertAlign w:val="superscript"/>
        </w:rPr>
        <w:t>o</w:t>
      </w:r>
      <w:r w:rsidR="00A1484F" w:rsidRPr="00A1484F">
        <w:t>C overnight, brought up to room temperature for 1</w:t>
      </w:r>
      <w:r w:rsidR="004854A6">
        <w:t>hr</w:t>
      </w:r>
      <w:r w:rsidR="00A1484F" w:rsidRPr="00A1484F">
        <w:t>, mixed and equilibrated for 2hr prior to use.</w:t>
      </w:r>
      <w:r w:rsidR="00717234">
        <w:t xml:space="preserve"> </w:t>
      </w:r>
      <w:r w:rsidR="00A1484F" w:rsidRPr="00A1484F">
        <w:t>ATP standards were made in 20mM EDTA from a 10mM stock (</w:t>
      </w:r>
      <w:proofErr w:type="spellStart"/>
      <w:r w:rsidR="00A1484F" w:rsidRPr="00A1484F">
        <w:t>Promega</w:t>
      </w:r>
      <w:proofErr w:type="spellEnd"/>
      <w:r w:rsidR="00A1484F" w:rsidRPr="00A1484F">
        <w:t>) in sterile 1.7</w:t>
      </w:r>
      <w:r w:rsidR="004854A6">
        <w:t>-mL</w:t>
      </w:r>
      <w:r w:rsidR="00A1484F" w:rsidRPr="00A1484F">
        <w:t xml:space="preserve"> microfuge tubes (</w:t>
      </w:r>
      <w:proofErr w:type="spellStart"/>
      <w:r w:rsidR="00A1484F" w:rsidRPr="00A1484F">
        <w:t>Genemate</w:t>
      </w:r>
      <w:proofErr w:type="spellEnd"/>
      <w:r w:rsidR="00A1484F" w:rsidRPr="00A1484F">
        <w:t xml:space="preserve"> </w:t>
      </w:r>
      <w:proofErr w:type="spellStart"/>
      <w:r w:rsidR="00A1484F" w:rsidRPr="00A1484F">
        <w:t>Bioexpress</w:t>
      </w:r>
      <w:proofErr w:type="spellEnd"/>
      <w:r w:rsidR="00A52C26">
        <w:t>) and stored at -20</w:t>
      </w:r>
      <w:r w:rsidR="00A1484F" w:rsidRPr="00A1484F">
        <w:rPr>
          <w:vertAlign w:val="superscript"/>
        </w:rPr>
        <w:t>o</w:t>
      </w:r>
      <w:r w:rsidR="00A1484F" w:rsidRPr="00A1484F">
        <w:t>C. Raw luminescence in samples was measured using a Modulus (T</w:t>
      </w:r>
      <w:r w:rsidR="00762AC4">
        <w:t xml:space="preserve">urner </w:t>
      </w:r>
      <w:proofErr w:type="spellStart"/>
      <w:r w:rsidR="00762AC4">
        <w:t>Biosystems</w:t>
      </w:r>
      <w:proofErr w:type="spellEnd"/>
      <w:r w:rsidR="00762AC4">
        <w:t>, Sunnyvale, CA</w:t>
      </w:r>
      <w:r w:rsidR="00A1484F" w:rsidRPr="00A1484F">
        <w:t>) fitted with a luminescence module. Sand subsamples were assayed by adding 0.5</w:t>
      </w:r>
      <w:r w:rsidR="004854A6">
        <w:t>mL</w:t>
      </w:r>
      <w:r w:rsidR="00A1484F" w:rsidRPr="00A1484F">
        <w:t xml:space="preserve"> ATP reagent and 25</w:t>
      </w:r>
      <w:r w:rsidR="001E63DC" w:rsidRPr="008F5C60">
        <w:rPr>
          <w:rFonts w:ascii="Symbol" w:hAnsi="Symbol"/>
        </w:rPr>
        <w:t></w:t>
      </w:r>
      <w:r w:rsidR="00A1484F" w:rsidRPr="00A1484F">
        <w:t>l 0.4M MgCl</w:t>
      </w:r>
      <w:r w:rsidR="00A1484F" w:rsidRPr="00A1484F">
        <w:rPr>
          <w:vertAlign w:val="subscript"/>
        </w:rPr>
        <w:t>2</w:t>
      </w:r>
      <w:r w:rsidR="00A1484F" w:rsidRPr="00A1484F">
        <w:t xml:space="preserve"> to the </w:t>
      </w:r>
      <w:proofErr w:type="spellStart"/>
      <w:r w:rsidR="00A1484F" w:rsidRPr="00A1484F">
        <w:t>cryovials</w:t>
      </w:r>
      <w:proofErr w:type="spellEnd"/>
      <w:r w:rsidR="00A1484F" w:rsidRPr="00A1484F">
        <w:t xml:space="preserve">, </w:t>
      </w:r>
      <w:proofErr w:type="spellStart"/>
      <w:r w:rsidR="00A1484F" w:rsidRPr="00A1484F">
        <w:t>vortexing</w:t>
      </w:r>
      <w:proofErr w:type="spellEnd"/>
      <w:r w:rsidR="00A1484F" w:rsidRPr="00A1484F">
        <w:t xml:space="preserve"> for 10 seconds, and then </w:t>
      </w:r>
      <w:r w:rsidR="001E63DC" w:rsidRPr="00A1484F">
        <w:t>incubat</w:t>
      </w:r>
      <w:r w:rsidR="001E63DC">
        <w:t xml:space="preserve">ing </w:t>
      </w:r>
      <w:r w:rsidR="00A1484F" w:rsidRPr="00A1484F">
        <w:t>for 5 minutes before measuring luminescence on a 200</w:t>
      </w:r>
      <w:r w:rsidR="001E63DC" w:rsidRPr="008F5C60">
        <w:rPr>
          <w:rFonts w:ascii="Symbol" w:hAnsi="Symbol"/>
        </w:rPr>
        <w:t></w:t>
      </w:r>
      <w:r w:rsidR="00A1484F" w:rsidRPr="00A1484F">
        <w:t>l subsample.</w:t>
      </w:r>
    </w:p>
    <w:p w14:paraId="427795A5" w14:textId="77D402E9" w:rsidR="00A1484F" w:rsidRDefault="00DC5E81" w:rsidP="00B7136B">
      <w:pPr>
        <w:spacing w:line="480" w:lineRule="auto"/>
      </w:pPr>
      <w:r>
        <w:tab/>
      </w:r>
      <w:r w:rsidR="00842325">
        <w:t>S</w:t>
      </w:r>
      <w:r w:rsidR="00A1484F" w:rsidRPr="00A1484F">
        <w:t xml:space="preserve">amples </w:t>
      </w:r>
      <w:r w:rsidR="00717234">
        <w:t>collected</w:t>
      </w:r>
      <w:r w:rsidR="00717234" w:rsidRPr="00A1484F">
        <w:t xml:space="preserve"> </w:t>
      </w:r>
      <w:r w:rsidR="00A1484F" w:rsidRPr="00A1484F">
        <w:t xml:space="preserve">for </w:t>
      </w:r>
      <w:proofErr w:type="spellStart"/>
      <w:r w:rsidR="00A1484F" w:rsidRPr="00A1484F">
        <w:t>resazurin</w:t>
      </w:r>
      <w:proofErr w:type="spellEnd"/>
      <w:r w:rsidR="00A1484F" w:rsidRPr="00A1484F">
        <w:t xml:space="preserve"> reduction as</w:t>
      </w:r>
      <w:r w:rsidR="00A52C26">
        <w:t>says</w:t>
      </w:r>
      <w:r w:rsidR="00842325">
        <w:t xml:space="preserve"> (</w:t>
      </w:r>
      <w:proofErr w:type="spellStart"/>
      <w:r w:rsidR="00842325">
        <w:t>sandpack</w:t>
      </w:r>
      <w:proofErr w:type="spellEnd"/>
      <w:r w:rsidR="00842325">
        <w:t xml:space="preserve"> only)</w:t>
      </w:r>
      <w:r w:rsidR="00A52C26">
        <w:t xml:space="preserve"> were stored overnight at 4</w:t>
      </w:r>
      <w:r w:rsidR="00A1484F" w:rsidRPr="00A1484F">
        <w:rPr>
          <w:vertAlign w:val="superscript"/>
        </w:rPr>
        <w:t>o</w:t>
      </w:r>
      <w:r w:rsidR="00A1484F" w:rsidRPr="00A1484F">
        <w:t>C.</w:t>
      </w:r>
      <w:r w:rsidR="00717234">
        <w:t xml:space="preserve"> </w:t>
      </w:r>
      <w:r w:rsidR="00A1484F" w:rsidRPr="00A1484F">
        <w:t>One replicate vial from each location was heat killed in a 72</w:t>
      </w:r>
      <w:r w:rsidR="00A1484F" w:rsidRPr="00A1484F">
        <w:rPr>
          <w:vertAlign w:val="superscript"/>
        </w:rPr>
        <w:t>o</w:t>
      </w:r>
      <w:r w:rsidR="00A1484F" w:rsidRPr="00A1484F">
        <w:t>C, 140rpm shaking water bath for 30 minutes</w:t>
      </w:r>
      <w:r w:rsidR="00717234">
        <w:t>,</w:t>
      </w:r>
      <w:r w:rsidR="00A1484F" w:rsidRPr="00A1484F">
        <w:t xml:space="preserve"> and cooled on ice to brin</w:t>
      </w:r>
      <w:r w:rsidR="00A52C26">
        <w:t>g back to 4</w:t>
      </w:r>
      <w:r w:rsidR="00A1484F" w:rsidRPr="00A1484F">
        <w:rPr>
          <w:vertAlign w:val="superscript"/>
        </w:rPr>
        <w:t>o</w:t>
      </w:r>
      <w:r w:rsidR="00A1484F" w:rsidRPr="00A1484F">
        <w:t xml:space="preserve">C. </w:t>
      </w:r>
      <w:proofErr w:type="spellStart"/>
      <w:r w:rsidR="00A1484F" w:rsidRPr="00A1484F">
        <w:t>Resazurin</w:t>
      </w:r>
      <w:proofErr w:type="spellEnd"/>
      <w:r w:rsidR="00A1484F" w:rsidRPr="00A1484F">
        <w:t xml:space="preserve"> incubations were started by adding 100</w:t>
      </w:r>
      <w:r w:rsidR="001E63DC" w:rsidRPr="008F5C60">
        <w:rPr>
          <w:rFonts w:ascii="Symbol" w:hAnsi="Symbol"/>
        </w:rPr>
        <w:t></w:t>
      </w:r>
      <w:r w:rsidR="00A1484F" w:rsidRPr="00A1484F">
        <w:t>l of 30</w:t>
      </w:r>
      <w:r w:rsidR="001E63DC" w:rsidRPr="008F5C60">
        <w:rPr>
          <w:rFonts w:ascii="Symbol" w:hAnsi="Symbol"/>
        </w:rPr>
        <w:t></w:t>
      </w:r>
      <w:r w:rsidR="00A1484F" w:rsidRPr="00A1484F">
        <w:t xml:space="preserve">M </w:t>
      </w:r>
      <w:proofErr w:type="spellStart"/>
      <w:r w:rsidR="00A1484F" w:rsidRPr="00A1484F">
        <w:t>resazurin</w:t>
      </w:r>
      <w:proofErr w:type="spellEnd"/>
      <w:r w:rsidR="00A1484F" w:rsidRPr="00A1484F">
        <w:t xml:space="preserve"> to vials when cold, gently mixing and then incubating on an angle at 50rpm and 21</w:t>
      </w:r>
      <w:r w:rsidR="00A1484F" w:rsidRPr="00A1484F">
        <w:rPr>
          <w:vertAlign w:val="superscript"/>
        </w:rPr>
        <w:t>o</w:t>
      </w:r>
      <w:r w:rsidR="00A1484F" w:rsidRPr="00A1484F">
        <w:t>C. After 48</w:t>
      </w:r>
      <w:r w:rsidR="004854A6">
        <w:t>hr</w:t>
      </w:r>
      <w:r w:rsidR="004E421B">
        <w:t>,</w:t>
      </w:r>
      <w:r w:rsidR="00A1484F" w:rsidRPr="00A1484F">
        <w:t xml:space="preserve"> vials were weighed and 3</w:t>
      </w:r>
      <w:r w:rsidR="004854A6">
        <w:t>mL</w:t>
      </w:r>
      <w:r w:rsidR="00A1484F" w:rsidRPr="00A1484F">
        <w:t xml:space="preserve"> acetonitrile (ACN) added to begin a 1hr extraction. After ACN addition, vials were sealed, </w:t>
      </w:r>
      <w:proofErr w:type="spellStart"/>
      <w:r w:rsidR="00A1484F" w:rsidRPr="00A1484F">
        <w:t>vortexed</w:t>
      </w:r>
      <w:proofErr w:type="spellEnd"/>
      <w:r w:rsidR="00A1484F" w:rsidRPr="00A1484F">
        <w:t xml:space="preserve"> and weighed again before being placed in a </w:t>
      </w:r>
      <w:proofErr w:type="spellStart"/>
      <w:r w:rsidR="00A1484F" w:rsidRPr="00A1484F">
        <w:t>sonicator</w:t>
      </w:r>
      <w:proofErr w:type="spellEnd"/>
      <w:r w:rsidR="00A1484F" w:rsidRPr="00A1484F">
        <w:t xml:space="preserve"> bath for 10min. After sonication, vials were put back on the 50rpm shaker. After the 1hr extraction, vials were </w:t>
      </w:r>
      <w:proofErr w:type="spellStart"/>
      <w:r w:rsidR="00A1484F" w:rsidRPr="00A1484F">
        <w:t>vortexed</w:t>
      </w:r>
      <w:proofErr w:type="spellEnd"/>
      <w:r w:rsidR="00A1484F" w:rsidRPr="00A1484F">
        <w:t xml:space="preserve"> and sand was allowed to settle. The screw cap was removed to allow extract to be drawn into a 5</w:t>
      </w:r>
      <w:r w:rsidR="004854A6">
        <w:t>-mL</w:t>
      </w:r>
      <w:r w:rsidR="00A1484F" w:rsidRPr="00A1484F">
        <w:t xml:space="preserve"> syringe fitted with a 20G needle. Extracts were filtered with 33mm, 0.2</w:t>
      </w:r>
      <w:r w:rsidR="004E421B" w:rsidRPr="008F5C60">
        <w:rPr>
          <w:rFonts w:ascii="Symbol" w:hAnsi="Symbol"/>
        </w:rPr>
        <w:t></w:t>
      </w:r>
      <w:r w:rsidR="00A1484F" w:rsidRPr="00A1484F">
        <w:t xml:space="preserve">m syringe filters (PES, </w:t>
      </w:r>
      <w:proofErr w:type="spellStart"/>
      <w:r w:rsidR="00A1484F" w:rsidRPr="00A1484F">
        <w:t>Millex</w:t>
      </w:r>
      <w:proofErr w:type="spellEnd"/>
      <w:r w:rsidR="00A1484F" w:rsidRPr="00A1484F">
        <w:t xml:space="preserve"> by Millipore) into pre-labeled 12</w:t>
      </w:r>
      <w:r w:rsidR="004854A6">
        <w:t>-mL</w:t>
      </w:r>
      <w:r w:rsidR="00A1484F" w:rsidRPr="00A1484F">
        <w:t xml:space="preserve"> amber vials (</w:t>
      </w:r>
      <w:proofErr w:type="spellStart"/>
      <w:r w:rsidR="00A1484F" w:rsidRPr="00A1484F">
        <w:t>Thermoscientific</w:t>
      </w:r>
      <w:proofErr w:type="spellEnd"/>
      <w:r w:rsidR="00A1484F" w:rsidRPr="00A1484F">
        <w:t xml:space="preserve">) and stored at </w:t>
      </w:r>
      <w:r w:rsidR="004E421B">
        <w:t>4</w:t>
      </w:r>
      <w:r w:rsidR="004E421B" w:rsidRPr="00A1484F">
        <w:rPr>
          <w:vertAlign w:val="superscript"/>
        </w:rPr>
        <w:t>o</w:t>
      </w:r>
      <w:r w:rsidR="004E421B" w:rsidRPr="00A1484F">
        <w:t>C</w:t>
      </w:r>
      <w:r w:rsidR="00A1484F" w:rsidRPr="00A1484F">
        <w:t xml:space="preserve">. The vial with the remaining </w:t>
      </w:r>
      <w:r w:rsidR="00A1484F" w:rsidRPr="00A1484F">
        <w:lastRenderedPageBreak/>
        <w:t>sand was dried in a convection oven at 75</w:t>
      </w:r>
      <w:r w:rsidR="00A1484F" w:rsidRPr="00A1484F">
        <w:rPr>
          <w:vertAlign w:val="superscript"/>
        </w:rPr>
        <w:t xml:space="preserve"> </w:t>
      </w:r>
      <w:proofErr w:type="spellStart"/>
      <w:r w:rsidR="00A1484F" w:rsidRPr="00A1484F">
        <w:rPr>
          <w:vertAlign w:val="superscript"/>
        </w:rPr>
        <w:t>o</w:t>
      </w:r>
      <w:r w:rsidR="00A1484F" w:rsidRPr="00A1484F">
        <w:t>C</w:t>
      </w:r>
      <w:proofErr w:type="spellEnd"/>
      <w:r w:rsidR="00A1484F" w:rsidRPr="00A1484F">
        <w:t xml:space="preserve"> for</w:t>
      </w:r>
      <w:r w:rsidR="004E421B">
        <w:t xml:space="preserve"> at least </w:t>
      </w:r>
      <w:r w:rsidR="00A1484F" w:rsidRPr="00A1484F">
        <w:t xml:space="preserve">72 </w:t>
      </w:r>
      <w:proofErr w:type="spellStart"/>
      <w:r w:rsidR="00A1484F" w:rsidRPr="00A1484F">
        <w:t>hrs</w:t>
      </w:r>
      <w:proofErr w:type="spellEnd"/>
      <w:r w:rsidR="00A1484F" w:rsidRPr="00A1484F">
        <w:t xml:space="preserve"> then weighed. Fluorescence emission maxima for </w:t>
      </w:r>
      <w:proofErr w:type="spellStart"/>
      <w:r w:rsidR="00A1484F" w:rsidRPr="00A1484F">
        <w:t>resazurin</w:t>
      </w:r>
      <w:proofErr w:type="spellEnd"/>
      <w:r w:rsidR="00A1484F" w:rsidRPr="00A1484F">
        <w:t xml:space="preserve"> (630nm) and </w:t>
      </w:r>
      <w:proofErr w:type="spellStart"/>
      <w:r w:rsidR="00A1484F" w:rsidRPr="00A1484F">
        <w:t>resorufin</w:t>
      </w:r>
      <w:proofErr w:type="spellEnd"/>
      <w:r w:rsidR="00A1484F" w:rsidRPr="00A1484F">
        <w:t xml:space="preserve"> (585nm) were measured on </w:t>
      </w:r>
      <w:proofErr w:type="spellStart"/>
      <w:r w:rsidR="00A1484F" w:rsidRPr="00A1484F">
        <w:t>resazurin</w:t>
      </w:r>
      <w:proofErr w:type="spellEnd"/>
      <w:r w:rsidR="00A1484F" w:rsidRPr="00A1484F">
        <w:t xml:space="preserve"> sample extracts using a Horiba </w:t>
      </w:r>
      <w:proofErr w:type="spellStart"/>
      <w:r w:rsidR="00A1484F" w:rsidRPr="00A1484F">
        <w:t>Fluorolog</w:t>
      </w:r>
      <w:proofErr w:type="spellEnd"/>
      <w:r w:rsidR="00A1484F" w:rsidRPr="00A1484F">
        <w:t xml:space="preserve"> 3 </w:t>
      </w:r>
      <w:proofErr w:type="spellStart"/>
      <w:r w:rsidR="00A1484F" w:rsidRPr="00A1484F">
        <w:t>fluorimeter</w:t>
      </w:r>
      <w:proofErr w:type="spellEnd"/>
      <w:r w:rsidR="00A1484F" w:rsidRPr="00A1484F">
        <w:t>. 2</w:t>
      </w:r>
      <w:r w:rsidR="004854A6">
        <w:t>mL</w:t>
      </w:r>
      <w:r w:rsidR="00A1484F" w:rsidRPr="00A1484F">
        <w:t xml:space="preserve"> extract was added to 0.2</w:t>
      </w:r>
      <w:r w:rsidR="004854A6">
        <w:t>mL</w:t>
      </w:r>
      <w:r w:rsidR="00A1484F" w:rsidRPr="00A1484F">
        <w:t xml:space="preserve"> 100mM HEPES (pH 8) in quartz cuvettes and fluorescence intensity quantified by comparison to </w:t>
      </w:r>
      <w:proofErr w:type="spellStart"/>
      <w:r w:rsidR="00A1484F" w:rsidRPr="00A1484F">
        <w:t>resazurin</w:t>
      </w:r>
      <w:proofErr w:type="spellEnd"/>
      <w:r w:rsidR="00A1484F" w:rsidRPr="00A1484F">
        <w:t xml:space="preserve"> and </w:t>
      </w:r>
      <w:proofErr w:type="spellStart"/>
      <w:r w:rsidR="00A1484F" w:rsidRPr="00A1484F">
        <w:t>resorufin</w:t>
      </w:r>
      <w:proofErr w:type="spellEnd"/>
      <w:r w:rsidR="00A1484F" w:rsidRPr="00A1484F">
        <w:t xml:space="preserve"> standards made up in ACN</w:t>
      </w:r>
      <w:proofErr w:type="gramStart"/>
      <w:r w:rsidR="00A1484F" w:rsidRPr="00A1484F">
        <w:t>:H</w:t>
      </w:r>
      <w:r w:rsidR="00A1484F" w:rsidRPr="00A1484F">
        <w:rPr>
          <w:vertAlign w:val="subscript"/>
        </w:rPr>
        <w:t>2</w:t>
      </w:r>
      <w:r w:rsidR="00A1484F" w:rsidRPr="00A1484F">
        <w:t>O</w:t>
      </w:r>
      <w:proofErr w:type="gramEnd"/>
      <w:r w:rsidR="00A1484F" w:rsidRPr="00A1484F">
        <w:t xml:space="preserve"> (1:1).</w:t>
      </w:r>
    </w:p>
    <w:p w14:paraId="00B4B60F" w14:textId="2C9C8BD9" w:rsidR="00A1484F" w:rsidRPr="00A1484F" w:rsidRDefault="00DC5E81" w:rsidP="00B7136B">
      <w:pPr>
        <w:spacing w:line="480" w:lineRule="auto"/>
      </w:pPr>
      <w:r>
        <w:tab/>
      </w:r>
      <w:r w:rsidR="00A1484F" w:rsidRPr="00A1484F">
        <w:t>Dissolved inorganic carbon (DIC) and non-</w:t>
      </w:r>
      <w:proofErr w:type="spellStart"/>
      <w:r w:rsidR="00A1484F" w:rsidRPr="00A1484F">
        <w:t>purgeable</w:t>
      </w:r>
      <w:proofErr w:type="spellEnd"/>
      <w:r w:rsidR="00A1484F" w:rsidRPr="00A1484F">
        <w:t xml:space="preserve"> organic carbon (NPOC)</w:t>
      </w:r>
      <w:r w:rsidR="00F20FCB">
        <w:t xml:space="preserve"> in </w:t>
      </w:r>
      <w:r w:rsidR="00E72BA7">
        <w:t>aqueous</w:t>
      </w:r>
      <w:r w:rsidR="00F20FCB">
        <w:t xml:space="preserve"> samples</w:t>
      </w:r>
      <w:r w:rsidR="00A1484F" w:rsidRPr="00A1484F">
        <w:t xml:space="preserve"> were determined </w:t>
      </w:r>
      <w:r w:rsidR="004E5272">
        <w:t xml:space="preserve">by combustion catalytic oxidation/NDIR method using </w:t>
      </w:r>
      <w:r w:rsidR="00A1484F" w:rsidRPr="00A1484F">
        <w:t>a Shimadzu TOC-</w:t>
      </w:r>
      <w:proofErr w:type="spellStart"/>
      <w:r w:rsidR="00A1484F" w:rsidRPr="00A1484F">
        <w:t>Vcsh</w:t>
      </w:r>
      <w:proofErr w:type="spellEnd"/>
      <w:r w:rsidR="00A1484F" w:rsidRPr="00A1484F">
        <w:t xml:space="preserve"> with ASI-V auto sampler (Shimadzu </w:t>
      </w:r>
      <w:r w:rsidR="00347481" w:rsidRPr="00A1484F">
        <w:t>Scientific</w:t>
      </w:r>
      <w:r w:rsidR="00A1484F" w:rsidRPr="00A1484F">
        <w:t xml:space="preserve"> Instruments, Columbia, MD). The DIC was determined by injection into 25 % phosphoric acid at ambient temperature. NPOC was determined by acidificat</w:t>
      </w:r>
      <w:r w:rsidR="00111894">
        <w:t xml:space="preserve">ion of the sample with 2 N </w:t>
      </w:r>
      <w:proofErr w:type="spellStart"/>
      <w:r w:rsidR="00111894">
        <w:t>HCl</w:t>
      </w:r>
      <w:proofErr w:type="spellEnd"/>
      <w:r w:rsidR="00111894">
        <w:t xml:space="preserve"> </w:t>
      </w:r>
      <w:r w:rsidR="00A1484F" w:rsidRPr="00A1484F">
        <w:t xml:space="preserve">with a 5 minute </w:t>
      </w:r>
      <w:proofErr w:type="spellStart"/>
      <w:r w:rsidR="00A1484F" w:rsidRPr="00A1484F">
        <w:t>sparging</w:t>
      </w:r>
      <w:proofErr w:type="spellEnd"/>
      <w:r w:rsidR="00A1484F" w:rsidRPr="00A1484F">
        <w:t xml:space="preserve"> time to remove DIC. The sample was then injec</w:t>
      </w:r>
      <w:r w:rsidR="00A52C26">
        <w:t>ted into the furnace set to 680</w:t>
      </w:r>
      <w:r w:rsidR="00A1484F" w:rsidRPr="00A1484F">
        <w:rPr>
          <w:vertAlign w:val="superscript"/>
        </w:rPr>
        <w:t>o</w:t>
      </w:r>
      <w:r w:rsidR="00A1484F" w:rsidRPr="00A1484F">
        <w:t xml:space="preserve">C. A </w:t>
      </w:r>
      <w:proofErr w:type="spellStart"/>
      <w:r w:rsidR="00A1484F" w:rsidRPr="00A1484F">
        <w:t>Dionex</w:t>
      </w:r>
      <w:proofErr w:type="spellEnd"/>
      <w:r w:rsidR="00A1484F" w:rsidRPr="00A1484F">
        <w:t xml:space="preserve"> ICS-2000 anion chromatograph with AS40 auto sampler was used to determine nitrate and chloride concentrations. </w:t>
      </w:r>
      <w:r w:rsidR="00111894">
        <w:t>A 25-</w:t>
      </w:r>
      <w:r w:rsidR="00A1484F" w:rsidRPr="00A1484F">
        <w:t xml:space="preserve">minute gradient method was used with </w:t>
      </w:r>
      <w:r w:rsidR="00A55472">
        <w:t xml:space="preserve">a </w:t>
      </w:r>
      <w:r w:rsidR="00111894">
        <w:t>25-</w:t>
      </w:r>
      <w:proofErr w:type="gramStart"/>
      <w:r w:rsidR="00111894" w:rsidRPr="00A1484F">
        <w:t>µ</w:t>
      </w:r>
      <w:r w:rsidR="00111894">
        <w:t>L</w:t>
      </w:r>
      <w:r w:rsidR="00A1484F" w:rsidRPr="00A1484F">
        <w:t xml:space="preserve"> injection</w:t>
      </w:r>
      <w:proofErr w:type="gramEnd"/>
      <w:r w:rsidR="00A1484F" w:rsidRPr="00A1484F">
        <w:t xml:space="preserve"> volume and a 1 </w:t>
      </w:r>
      <w:r w:rsidR="004854A6">
        <w:t>mL</w:t>
      </w:r>
      <w:r w:rsidR="00A1484F" w:rsidRPr="00A1484F">
        <w:t xml:space="preserve">/min flow rate at 30 </w:t>
      </w:r>
      <w:proofErr w:type="spellStart"/>
      <w:r w:rsidR="00A1484F" w:rsidRPr="00A1484F">
        <w:rPr>
          <w:vertAlign w:val="superscript"/>
        </w:rPr>
        <w:t>o</w:t>
      </w:r>
      <w:r w:rsidR="00A1484F" w:rsidRPr="00A1484F">
        <w:t>C</w:t>
      </w:r>
      <w:proofErr w:type="spellEnd"/>
      <w:r w:rsidR="00111894">
        <w:t xml:space="preserve"> (</w:t>
      </w:r>
      <w:r w:rsidR="00111894">
        <w:rPr>
          <w:rStyle w:val="method-name"/>
        </w:rPr>
        <w:t>EPA-NERL: 300.0)</w:t>
      </w:r>
      <w:r w:rsidR="00A1484F" w:rsidRPr="00A1484F">
        <w:t xml:space="preserve">. </w:t>
      </w:r>
    </w:p>
    <w:p w14:paraId="2FB90C22" w14:textId="77777777" w:rsidR="00A1484F" w:rsidRDefault="00A1484F" w:rsidP="00B7136B">
      <w:pPr>
        <w:spacing w:line="480" w:lineRule="auto"/>
      </w:pPr>
    </w:p>
    <w:p w14:paraId="2B2B55C5" w14:textId="5C3971DF" w:rsidR="000A0EDD" w:rsidRPr="00A52C26" w:rsidRDefault="001300C1" w:rsidP="00B7136B">
      <w:pPr>
        <w:spacing w:line="480" w:lineRule="auto"/>
        <w:rPr>
          <w:i/>
        </w:rPr>
      </w:pPr>
      <w:r>
        <w:rPr>
          <w:i/>
        </w:rPr>
        <w:t>DNA extraction and sequencing</w:t>
      </w:r>
    </w:p>
    <w:p w14:paraId="69132E0C" w14:textId="265BA4E6" w:rsidR="00A1484F" w:rsidRDefault="00F20FCB" w:rsidP="00B7136B">
      <w:pPr>
        <w:spacing w:line="480" w:lineRule="auto"/>
        <w:ind w:firstLine="720"/>
      </w:pPr>
      <w:r>
        <w:t>S</w:t>
      </w:r>
      <w:r w:rsidR="00A1484F" w:rsidRPr="00A1484F">
        <w:t xml:space="preserve">amples </w:t>
      </w:r>
      <w:r w:rsidR="00DC5885">
        <w:t xml:space="preserve">for DNA extraction </w:t>
      </w:r>
      <w:r w:rsidR="00A1484F" w:rsidRPr="00A1484F">
        <w:t xml:space="preserve">were thawed for </w:t>
      </w:r>
      <w:r w:rsidR="00014E5D">
        <w:t>~</w:t>
      </w:r>
      <w:r w:rsidR="00014E5D" w:rsidRPr="00A1484F">
        <w:t xml:space="preserve"> </w:t>
      </w:r>
      <w:r w:rsidR="004854A6">
        <w:t>1hr, suspended in 20mL</w:t>
      </w:r>
      <w:r w:rsidR="00A1484F" w:rsidRPr="00A1484F">
        <w:t xml:space="preserve"> of chilled PBS /0.1% Na-pyrophosphate</w:t>
      </w:r>
      <w:r w:rsidR="00014E5D">
        <w:t xml:space="preserve"> </w:t>
      </w:r>
      <w:r w:rsidR="00A1484F" w:rsidRPr="00A1484F">
        <w:t>solution</w:t>
      </w:r>
      <w:r w:rsidR="00014E5D">
        <w:t xml:space="preserve">, </w:t>
      </w:r>
      <w:r w:rsidR="00A1484F" w:rsidRPr="00A1484F">
        <w:t xml:space="preserve">then </w:t>
      </w:r>
      <w:proofErr w:type="spellStart"/>
      <w:r w:rsidR="00A1484F" w:rsidRPr="00A1484F">
        <w:t>vortexed</w:t>
      </w:r>
      <w:proofErr w:type="spellEnd"/>
      <w:r w:rsidR="00A1484F" w:rsidRPr="00A1484F">
        <w:t xml:space="preserve"> for 1 min</w:t>
      </w:r>
      <w:r w:rsidR="00014E5D">
        <w:t>.</w:t>
      </w:r>
      <w:r w:rsidR="00A1484F" w:rsidRPr="00A1484F">
        <w:t xml:space="preserve"> The suspended fraction was decanted to a fresh tube</w:t>
      </w:r>
      <w:r w:rsidR="00014E5D">
        <w:t xml:space="preserve"> and r</w:t>
      </w:r>
      <w:r w:rsidR="00A1484F" w:rsidRPr="00A1484F">
        <w:t>emaining sand was dried in a convection oven at 70</w:t>
      </w:r>
      <w:r w:rsidR="00A1484F" w:rsidRPr="00A1484F">
        <w:rPr>
          <w:vertAlign w:val="superscript"/>
        </w:rPr>
        <w:t>o</w:t>
      </w:r>
      <w:r w:rsidR="00A1484F" w:rsidRPr="00A1484F">
        <w:t>C for 72hrs to determine the dry mass.</w:t>
      </w:r>
      <w:r w:rsidR="002A1FD6">
        <w:t xml:space="preserve"> </w:t>
      </w:r>
      <w:r w:rsidR="00A1484F" w:rsidRPr="00A1484F">
        <w:t>Decanted liquid was centrifuged for 15 minutes at 7000xg and 10</w:t>
      </w:r>
      <w:r w:rsidR="00A1484F" w:rsidRPr="00A1484F">
        <w:rPr>
          <w:vertAlign w:val="superscript"/>
        </w:rPr>
        <w:t>o</w:t>
      </w:r>
      <w:r w:rsidR="00A1484F" w:rsidRPr="00A1484F">
        <w:t>C, supernatant was discarded and the remaining pellet was stored at -80</w:t>
      </w:r>
      <w:r w:rsidR="00A1484F" w:rsidRPr="00A1484F">
        <w:rPr>
          <w:vertAlign w:val="superscript"/>
        </w:rPr>
        <w:t>o</w:t>
      </w:r>
      <w:r w:rsidR="00A1484F" w:rsidRPr="00A1484F">
        <w:t xml:space="preserve">C. DNA was extracted from pellets using the </w:t>
      </w:r>
      <w:proofErr w:type="spellStart"/>
      <w:r w:rsidR="000A0EDD" w:rsidRPr="00A1484F">
        <w:t>M</w:t>
      </w:r>
      <w:r w:rsidR="000A0EDD">
        <w:t>oB</w:t>
      </w:r>
      <w:r w:rsidR="000A0EDD" w:rsidRPr="00A1484F">
        <w:t>io</w:t>
      </w:r>
      <w:proofErr w:type="spellEnd"/>
      <w:r w:rsidR="000A0EDD" w:rsidRPr="00A1484F">
        <w:t xml:space="preserve"> </w:t>
      </w:r>
      <w:proofErr w:type="spellStart"/>
      <w:r w:rsidR="00A1484F" w:rsidRPr="00A1484F">
        <w:t>PowerSoil</w:t>
      </w:r>
      <w:proofErr w:type="spellEnd"/>
      <w:r w:rsidR="00A1484F" w:rsidRPr="00A1484F">
        <w:t xml:space="preserve"> kit in plate format (</w:t>
      </w:r>
      <w:proofErr w:type="spellStart"/>
      <w:r w:rsidR="00A1484F" w:rsidRPr="00A1484F">
        <w:t>MoBio</w:t>
      </w:r>
      <w:proofErr w:type="spellEnd"/>
      <w:r w:rsidR="00A1484F" w:rsidRPr="00A1484F">
        <w:t xml:space="preserve"> Laboratories, Inc., Carlsbad, CA). Pellets were re-suspended in 750</w:t>
      </w:r>
      <w:r w:rsidR="00927045" w:rsidRPr="00A1484F">
        <w:t>µ</w:t>
      </w:r>
      <w:r w:rsidR="00927045">
        <w:t>L</w:t>
      </w:r>
      <w:r w:rsidR="00A1484F" w:rsidRPr="00A1484F">
        <w:t xml:space="preserve"> of C1 bead solution</w:t>
      </w:r>
      <w:r w:rsidR="000A0EDD">
        <w:t xml:space="preserve"> </w:t>
      </w:r>
      <w:r w:rsidR="00A1484F" w:rsidRPr="00A1484F">
        <w:t>and transferred to a 96-well bead beating plate</w:t>
      </w:r>
      <w:r w:rsidR="00A1484F" w:rsidRPr="00A1484F">
        <w:rPr>
          <w:i/>
        </w:rPr>
        <w:t xml:space="preserve">. </w:t>
      </w:r>
      <w:r w:rsidR="00A1484F" w:rsidRPr="00A1484F">
        <w:lastRenderedPageBreak/>
        <w:t>DNA was extracted following manufacturer’s instructions with the addition of a</w:t>
      </w:r>
      <w:r w:rsidR="00014E5D">
        <w:t xml:space="preserve"> </w:t>
      </w:r>
      <w:proofErr w:type="gramStart"/>
      <w:r w:rsidR="00A1484F" w:rsidRPr="00A1484F">
        <w:t>2 hour</w:t>
      </w:r>
      <w:proofErr w:type="gramEnd"/>
      <w:r w:rsidR="00A1484F" w:rsidRPr="00A1484F">
        <w:t xml:space="preserve"> proteina</w:t>
      </w:r>
      <w:r w:rsidR="00A52C26">
        <w:t>se-K incubation at 55</w:t>
      </w:r>
      <w:r w:rsidR="00A1484F" w:rsidRPr="00A1484F">
        <w:rPr>
          <w:vertAlign w:val="superscript"/>
        </w:rPr>
        <w:t>o</w:t>
      </w:r>
      <w:r w:rsidR="00A1484F" w:rsidRPr="00A1484F">
        <w:t xml:space="preserve">C prior to bead-beating to facilitate cell </w:t>
      </w:r>
      <w:proofErr w:type="spellStart"/>
      <w:r w:rsidR="00A1484F" w:rsidRPr="00A1484F">
        <w:t>lysis</w:t>
      </w:r>
      <w:proofErr w:type="spellEnd"/>
      <w:r w:rsidR="00A1484F" w:rsidRPr="00A1484F">
        <w:t xml:space="preserve">. DNA was extracted from </w:t>
      </w:r>
      <w:proofErr w:type="spellStart"/>
      <w:r w:rsidR="00A1484F" w:rsidRPr="00A1484F">
        <w:t>Sterivex</w:t>
      </w:r>
      <w:proofErr w:type="spellEnd"/>
      <w:r w:rsidR="00A1484F" w:rsidRPr="00A1484F">
        <w:t xml:space="preserve"> filters in a 96-well plate format using the </w:t>
      </w:r>
      <w:proofErr w:type="spellStart"/>
      <w:r w:rsidR="00A1484F" w:rsidRPr="00A1484F">
        <w:t>MoBio</w:t>
      </w:r>
      <w:proofErr w:type="spellEnd"/>
      <w:r w:rsidR="00A1484F" w:rsidRPr="00A1484F">
        <w:t xml:space="preserve"> </w:t>
      </w:r>
      <w:proofErr w:type="spellStart"/>
      <w:r w:rsidR="00A1484F" w:rsidRPr="00A1484F">
        <w:t>PowerSoil</w:t>
      </w:r>
      <w:proofErr w:type="spellEnd"/>
      <w:r w:rsidR="00A1484F" w:rsidRPr="00A1484F">
        <w:t xml:space="preserve"> kit as described above. Extraction was done on </w:t>
      </w:r>
      <w:proofErr w:type="gramStart"/>
      <w:r w:rsidR="00A1484F" w:rsidRPr="00A1484F">
        <w:t>a</w:t>
      </w:r>
      <w:proofErr w:type="gramEnd"/>
      <w:r w:rsidR="00A1484F" w:rsidRPr="00A1484F">
        <w:t xml:space="preserve"> </w:t>
      </w:r>
      <w:proofErr w:type="spellStart"/>
      <w:r w:rsidR="00A1484F" w:rsidRPr="00A1484F">
        <w:t>Eppendorf</w:t>
      </w:r>
      <w:proofErr w:type="spellEnd"/>
      <w:r w:rsidR="00A1484F" w:rsidRPr="00A1484F">
        <w:t xml:space="preserve"> </w:t>
      </w:r>
      <w:proofErr w:type="spellStart"/>
      <w:r w:rsidR="00A1484F" w:rsidRPr="00A1484F">
        <w:t>epMotion</w:t>
      </w:r>
      <w:proofErr w:type="spellEnd"/>
      <w:r w:rsidR="00A1484F" w:rsidRPr="00A1484F">
        <w:t xml:space="preserve"> 5075 (</w:t>
      </w:r>
      <w:proofErr w:type="spellStart"/>
      <w:r w:rsidR="00A1484F" w:rsidRPr="00A1484F">
        <w:t>Eppendorf</w:t>
      </w:r>
      <w:proofErr w:type="spellEnd"/>
      <w:r w:rsidR="00A1484F" w:rsidRPr="00A1484F">
        <w:t xml:space="preserve"> AG, Hamburg, GE), with the bead beating step using a </w:t>
      </w:r>
      <w:proofErr w:type="spellStart"/>
      <w:r w:rsidR="00A1484F" w:rsidRPr="00A1484F">
        <w:t>Retsch</w:t>
      </w:r>
      <w:proofErr w:type="spellEnd"/>
      <w:r w:rsidR="00A1484F" w:rsidRPr="00A1484F">
        <w:t xml:space="preserve"> MM400 plate shaker (</w:t>
      </w:r>
      <w:proofErr w:type="spellStart"/>
      <w:r w:rsidR="00A1484F" w:rsidRPr="00A1484F">
        <w:t>Retsch</w:t>
      </w:r>
      <w:proofErr w:type="spellEnd"/>
      <w:r w:rsidR="00A1484F" w:rsidRPr="00A1484F">
        <w:t>, Inc., Newton, PA).</w:t>
      </w:r>
    </w:p>
    <w:p w14:paraId="1B5C8461" w14:textId="58FE2717" w:rsidR="0068050B" w:rsidRPr="0068050B" w:rsidRDefault="0068050B" w:rsidP="00B7136B">
      <w:pPr>
        <w:spacing w:line="480" w:lineRule="auto"/>
        <w:ind w:firstLine="720"/>
      </w:pPr>
      <w:r w:rsidRPr="0068050B">
        <w:t xml:space="preserve">PCR amplification of the V4 region of the 16S </w:t>
      </w:r>
      <w:proofErr w:type="spellStart"/>
      <w:r w:rsidRPr="0068050B">
        <w:t>rRNA</w:t>
      </w:r>
      <w:proofErr w:type="spellEnd"/>
      <w:r w:rsidRPr="0068050B">
        <w:t xml:space="preserve"> gene was performed using the protocol developed </w:t>
      </w:r>
      <w:r w:rsidR="004D61A9">
        <w:t xml:space="preserve">by the Earth </w:t>
      </w:r>
      <w:proofErr w:type="spellStart"/>
      <w:r w:rsidR="004D61A9">
        <w:t>Microbiome</w:t>
      </w:r>
      <w:proofErr w:type="spellEnd"/>
      <w:r w:rsidR="004D61A9">
        <w:t xml:space="preserve"> Project </w:t>
      </w:r>
      <w:r w:rsidRPr="0068050B">
        <w:t xml:space="preserve">(http://press.igsb.anl.gov/earthmicrobiome/emp-standard-protocols/16s/), and described in </w:t>
      </w:r>
      <w:proofErr w:type="spellStart"/>
      <w:r w:rsidRPr="0068050B">
        <w:t>Caporaso</w:t>
      </w:r>
      <w:proofErr w:type="spellEnd"/>
      <w:r w:rsidRPr="0068050B">
        <w:t xml:space="preserve"> et al </w:t>
      </w:r>
      <w:r w:rsidR="005C2DE1">
        <w:fldChar w:fldCharType="begin"/>
      </w:r>
      <w:r w:rsidR="005C2DE1">
        <w:instrText xml:space="preserve"> ADDIN EN.CITE &lt;EndNote&gt;&lt;Cite ExcludeAuth="1"&gt;&lt;Author&gt;Caporaso&lt;/Author&gt;&lt;Year&gt;2012&lt;/Year&gt;&lt;RecNum&gt;146&lt;/RecNum&gt;&lt;DisplayText&gt;(2012)&lt;/DisplayText&gt;&lt;record&gt;&lt;rec-number&gt;146&lt;/rec-number&gt;&lt;foreign-keys&gt;&lt;key app="EN" db-id="r5pft5av9ep25hez0eoxp2srxfxpptzds99r" timestamp="1455732220"&gt;146&lt;/key&gt;&lt;/foreign-keys&gt;&lt;ref-type name="Journal Article"&gt;17&lt;/ref-type&gt;&lt;contributors&gt;&lt;authors&gt;&lt;author&gt;Caporaso, J. Gregory&lt;/author&gt;&lt;author&gt;Lauber, Christian L.&lt;/author&gt;&lt;author&gt;Walters, William A.&lt;/author&gt;&lt;author&gt;Berg-Lyons, Donna&lt;/author&gt;&lt;author&gt;Huntley, James&lt;/author&gt;&lt;author&gt;Fierer, Noah&lt;/author&gt;&lt;author&gt;Owens, Sarah M.&lt;/author&gt;&lt;author&gt;Betley, Jason&lt;/author&gt;&lt;author&gt;Fraser, Louise&lt;/author&gt;&lt;author&gt;Bauer, Markus&lt;/author&gt;&lt;/authors&gt;&lt;/contributors&gt;&lt;titles&gt;&lt;title&gt;Ultra-high-throughput microbial community analysis on the Illumina HiSeq and MiSeq platforms&lt;/title&gt;&lt;secondary-title&gt;The ISME journal&lt;/secondary-title&gt;&lt;/titles&gt;&lt;periodical&gt;&lt;full-title&gt;The ISME journal&lt;/full-title&gt;&lt;/periodical&gt;&lt;pages&gt;1621-1624&lt;/pages&gt;&lt;volume&gt;6&lt;/volume&gt;&lt;number&gt;8&lt;/number&gt;&lt;dates&gt;&lt;year&gt;2012&lt;/year&gt;&lt;/dates&gt;&lt;isbn&gt;1751-7362&lt;/isbn&gt;&lt;urls&gt;&lt;/urls&gt;&lt;/record&gt;&lt;/Cite&gt;&lt;/EndNote&gt;</w:instrText>
      </w:r>
      <w:r w:rsidR="005C2DE1">
        <w:fldChar w:fldCharType="separate"/>
      </w:r>
      <w:r w:rsidR="005C2DE1">
        <w:rPr>
          <w:noProof/>
        </w:rPr>
        <w:t>(2012)</w:t>
      </w:r>
      <w:r w:rsidR="005C2DE1">
        <w:fldChar w:fldCharType="end"/>
      </w:r>
      <w:r w:rsidRPr="0068050B">
        <w:t xml:space="preserve">, with the exception that the twelve base barcode sequence was included in the forward primer. </w:t>
      </w:r>
      <w:proofErr w:type="spellStart"/>
      <w:r w:rsidRPr="0068050B">
        <w:t>Amplicons</w:t>
      </w:r>
      <w:proofErr w:type="spellEnd"/>
      <w:r w:rsidRPr="0068050B">
        <w:t xml:space="preserve"> were sequenced on an </w:t>
      </w:r>
      <w:proofErr w:type="spellStart"/>
      <w:r w:rsidRPr="0068050B">
        <w:t>Illumina</w:t>
      </w:r>
      <w:proofErr w:type="spellEnd"/>
      <w:r w:rsidRPr="0068050B">
        <w:t xml:space="preserve"> </w:t>
      </w:r>
      <w:proofErr w:type="spellStart"/>
      <w:r w:rsidRPr="0068050B">
        <w:t>MiSeq</w:t>
      </w:r>
      <w:proofErr w:type="spellEnd"/>
      <w:r w:rsidRPr="0068050B">
        <w:t xml:space="preserve"> using the 300 </w:t>
      </w:r>
      <w:proofErr w:type="gramStart"/>
      <w:r w:rsidRPr="0068050B">
        <w:t>cycle</w:t>
      </w:r>
      <w:proofErr w:type="gramEnd"/>
      <w:r w:rsidRPr="0068050B">
        <w:t xml:space="preserve"> </w:t>
      </w:r>
      <w:proofErr w:type="spellStart"/>
      <w:r w:rsidRPr="0068050B">
        <w:t>MiSeq</w:t>
      </w:r>
      <w:proofErr w:type="spellEnd"/>
      <w:r w:rsidRPr="0068050B">
        <w:t xml:space="preserve"> Reagent Kit v2 (http://www.illumina.com/) according to manufacturer’s instructions.</w:t>
      </w:r>
    </w:p>
    <w:p w14:paraId="17FFE771" w14:textId="77777777" w:rsidR="00E33A6F" w:rsidRPr="00A52C26" w:rsidRDefault="00E33A6F" w:rsidP="00B7136B">
      <w:pPr>
        <w:spacing w:line="480" w:lineRule="auto"/>
        <w:rPr>
          <w:i/>
        </w:rPr>
      </w:pPr>
    </w:p>
    <w:p w14:paraId="4F68E5BF" w14:textId="40F83E30" w:rsidR="003B4A05" w:rsidRPr="00A52C26" w:rsidRDefault="003B4A05" w:rsidP="00B7136B">
      <w:pPr>
        <w:spacing w:line="480" w:lineRule="auto"/>
        <w:rPr>
          <w:i/>
        </w:rPr>
      </w:pPr>
      <w:r w:rsidRPr="003B4A05">
        <w:rPr>
          <w:i/>
        </w:rPr>
        <w:t>Sequenc</w:t>
      </w:r>
      <w:r w:rsidR="00B461D4">
        <w:rPr>
          <w:i/>
        </w:rPr>
        <w:t xml:space="preserve">e </w:t>
      </w:r>
      <w:r w:rsidRPr="00A52C26">
        <w:rPr>
          <w:i/>
        </w:rPr>
        <w:t>Analysis</w:t>
      </w:r>
    </w:p>
    <w:p w14:paraId="0DFBAEDF" w14:textId="26ED3A4F" w:rsidR="00AD203D" w:rsidRDefault="003F40EB" w:rsidP="00B7136B">
      <w:pPr>
        <w:spacing w:line="480" w:lineRule="auto"/>
      </w:pPr>
      <w:r>
        <w:tab/>
        <w:t xml:space="preserve">Sequence analysis was performed using QIIME software </w:t>
      </w:r>
      <w:r w:rsidR="00AD203D">
        <w:fldChar w:fldCharType="begin"/>
      </w:r>
      <w:r w:rsidR="00B7136B">
        <w:instrText xml:space="preserve"> ADDIN EN.CITE &lt;EndNote&gt;&lt;Cite&gt;&lt;Author&gt;Caporaso&lt;/Author&gt;&lt;Year&gt;2010&lt;/Year&gt;&lt;RecNum&gt;111&lt;/RecNum&gt;&lt;DisplayText&gt;(Caporaso&lt;style face="italic"&gt; et al.&lt;/style&gt; 2010)&lt;/DisplayText&gt;&lt;record&gt;&lt;rec-number&gt;111&lt;/rec-number&gt;&lt;foreign-keys&gt;&lt;key app="EN" db-id="r5pft5av9ep25hez0eoxp2srxfxpptzds99r" timestamp="1454528286"&gt;111&lt;/key&gt;&lt;/foreign-keys&gt;&lt;ref-type name="Journal Article"&gt;17&lt;/ref-type&gt;&lt;contributors&gt;&lt;authors&gt;&lt;author&gt;Caporaso, J. Gregory&lt;/author&gt;&lt;author&gt;Kuczynski, Justin&lt;/author&gt;&lt;author&gt;Stombaugh, Jesse&lt;/author&gt;&lt;author&gt;Bittinger, Kyle&lt;/author&gt;&lt;author&gt;Bushman, Frederic D.&lt;/author&gt;&lt;author&gt;Costello, Elizabeth K.&lt;/author&gt;&lt;author&gt;Fierer, Noah&lt;/author&gt;&lt;author&gt;Pena, Antonio Gonzalez&lt;/author&gt;&lt;author&gt;Goodrich, Julia K.&lt;/author&gt;&lt;author&gt;Gordon, Jeffrey I.&lt;/author&gt;&lt;/authors&gt;&lt;/contributors&gt;&lt;titles&gt;&lt;title&gt;QIIME allows analysis of high-throughput community sequencing data&lt;/title&gt;&lt;secondary-title&gt;Nature methods&lt;/secondary-title&gt;&lt;/titles&gt;&lt;periodical&gt;&lt;full-title&gt;Nature methods&lt;/full-title&gt;&lt;/periodical&gt;&lt;pages&gt;335-336&lt;/pages&gt;&lt;volume&gt;7&lt;/volume&gt;&lt;number&gt;5&lt;/number&gt;&lt;dates&gt;&lt;year&gt;2010&lt;/year&gt;&lt;/dates&gt;&lt;isbn&gt;1548-7091&lt;/isbn&gt;&lt;urls&gt;&lt;/urls&gt;&lt;/record&gt;&lt;/Cite&gt;&lt;/EndNote&gt;</w:instrText>
      </w:r>
      <w:r w:rsidR="00AD203D">
        <w:fldChar w:fldCharType="separate"/>
      </w:r>
      <w:r w:rsidR="00B7136B">
        <w:rPr>
          <w:noProof/>
        </w:rPr>
        <w:t>(Caporaso</w:t>
      </w:r>
      <w:r w:rsidR="00B7136B" w:rsidRPr="00B7136B">
        <w:rPr>
          <w:i/>
          <w:noProof/>
        </w:rPr>
        <w:t xml:space="preserve"> et al.</w:t>
      </w:r>
      <w:r w:rsidR="00B7136B">
        <w:rPr>
          <w:noProof/>
        </w:rPr>
        <w:t xml:space="preserve"> 2010)</w:t>
      </w:r>
      <w:r w:rsidR="00AD203D">
        <w:fldChar w:fldCharType="end"/>
      </w:r>
      <w:r w:rsidR="00AD203D">
        <w:t>.</w:t>
      </w:r>
      <w:r w:rsidR="00535EC8">
        <w:t xml:space="preserve"> Pair-end reads were merged and chimeric sequences were identified and removed using USEARCH. </w:t>
      </w:r>
      <w:r w:rsidR="003A6B96">
        <w:t>Operational taxonomic units (</w:t>
      </w:r>
      <w:r w:rsidR="00535EC8">
        <w:t>OTUs</w:t>
      </w:r>
      <w:r w:rsidR="003A6B96">
        <w:t>)</w:t>
      </w:r>
      <w:r w:rsidR="00535EC8">
        <w:t xml:space="preserve"> were chosen using open reference OTU picking with 97% identity threshold in conjunction with sequences obtained from samples at the same location with identical preparation and sequenced on the same sequencing run. Taxonomy was assigned using the SILVA reference database </w:t>
      </w:r>
      <w:r w:rsidR="009351E8">
        <w:fldChar w:fldCharType="begin"/>
      </w:r>
      <w:r w:rsidR="00B7136B">
        <w:instrText xml:space="preserve"> ADDIN EN.CITE &lt;EndNote&gt;&lt;Cite&gt;&lt;Author&gt;Pruesse&lt;/Author&gt;&lt;Year&gt;2007&lt;/Year&gt;&lt;RecNum&gt;135&lt;/RecNum&gt;&lt;DisplayText&gt;(Pruesse&lt;style face="italic"&gt; et al.&lt;/style&gt; 2007)&lt;/DisplayText&gt;&lt;record&gt;&lt;rec-number&gt;135&lt;/rec-number&gt;&lt;foreign-keys&gt;&lt;key app="EN" db-id="r5pft5av9ep25hez0eoxp2srxfxpptzds99r" timestamp="1455569599"&gt;135&lt;/key&gt;&lt;/foreign-keys&gt;&lt;ref-type name="Journal Article"&gt;17&lt;/ref-type&gt;&lt;contributors&gt;&lt;authors&gt;&lt;author&gt;Pruesse, Elmar&lt;/author&gt;&lt;author&gt;Quast, Christian&lt;/author&gt;&lt;author&gt;Knittel, Katrin&lt;/author&gt;&lt;author&gt;Fuchs, Bernhard M.&lt;/author&gt;&lt;author&gt;Ludwig, Wolfgang&lt;/author&gt;&lt;author&gt;Peplies, Jörg&lt;/author&gt;&lt;author&gt;Glöckner, Frank Oliver&lt;/author&gt;&lt;/authors&gt;&lt;/contributors&gt;&lt;titles&gt;&lt;title&gt;SILVA: a comprehensive online resource for quality checked and aligned ribosomal RNA sequence data compatible with ARB&lt;/title&gt;&lt;secondary-title&gt;Nucleic acids research&lt;/secondary-title&gt;&lt;/titles&gt;&lt;periodical&gt;&lt;full-title&gt;Nucleic acids research&lt;/full-title&gt;&lt;/periodical&gt;&lt;pages&gt;7188-7196&lt;/pages&gt;&lt;volume&gt;35&lt;/volume&gt;&lt;number&gt;21&lt;/number&gt;&lt;dates&gt;&lt;year&gt;2007&lt;/year&gt;&lt;/dates&gt;&lt;isbn&gt;0305-1048&lt;/isbn&gt;&lt;urls&gt;&lt;/urls&gt;&lt;/record&gt;&lt;/Cite&gt;&lt;/EndNote&gt;</w:instrText>
      </w:r>
      <w:r w:rsidR="009351E8">
        <w:fldChar w:fldCharType="separate"/>
      </w:r>
      <w:r w:rsidR="00B7136B">
        <w:rPr>
          <w:noProof/>
        </w:rPr>
        <w:t>(Pruesse</w:t>
      </w:r>
      <w:r w:rsidR="00B7136B" w:rsidRPr="00B7136B">
        <w:rPr>
          <w:i/>
          <w:noProof/>
        </w:rPr>
        <w:t xml:space="preserve"> et al.</w:t>
      </w:r>
      <w:r w:rsidR="00B7136B">
        <w:rPr>
          <w:noProof/>
        </w:rPr>
        <w:t xml:space="preserve"> 2007)</w:t>
      </w:r>
      <w:r w:rsidR="009351E8">
        <w:fldChar w:fldCharType="end"/>
      </w:r>
      <w:r w:rsidR="009351E8">
        <w:t xml:space="preserve">. Chloroplast sequences were removed, yielding samples with a minimum of </w:t>
      </w:r>
      <w:r w:rsidR="00E07F60">
        <w:t>1 sequence</w:t>
      </w:r>
      <w:r w:rsidR="009351E8">
        <w:t xml:space="preserve"> and a maximum of </w:t>
      </w:r>
      <w:r w:rsidR="00E07F60" w:rsidRPr="00E07F60">
        <w:t>40</w:t>
      </w:r>
      <w:r w:rsidR="00E07F60">
        <w:t>,</w:t>
      </w:r>
      <w:r w:rsidR="00E07F60" w:rsidRPr="00E07F60">
        <w:t>819</w:t>
      </w:r>
      <w:r w:rsidR="009351E8">
        <w:t xml:space="preserve"> sequences. </w:t>
      </w:r>
      <w:r w:rsidR="007179C4">
        <w:t>Samples</w:t>
      </w:r>
      <w:r w:rsidR="009351E8">
        <w:t xml:space="preserve"> </w:t>
      </w:r>
      <w:r w:rsidR="006E7F41">
        <w:t>containing</w:t>
      </w:r>
      <w:r w:rsidR="007179C4">
        <w:t xml:space="preserve"> less than 9</w:t>
      </w:r>
      <w:r w:rsidR="00E07F60">
        <w:t>87</w:t>
      </w:r>
      <w:r w:rsidR="007179C4">
        <w:t xml:space="preserve"> sequences were removed</w:t>
      </w:r>
      <w:r w:rsidR="009351E8">
        <w:t>, and all others were rarefied to 9</w:t>
      </w:r>
      <w:r w:rsidR="00E07F60">
        <w:t>87</w:t>
      </w:r>
      <w:r w:rsidR="009351E8">
        <w:t xml:space="preserve"> sequences</w:t>
      </w:r>
      <w:r w:rsidR="007179C4">
        <w:t>.</w:t>
      </w:r>
    </w:p>
    <w:p w14:paraId="71B076B2" w14:textId="77777777" w:rsidR="00AD203D" w:rsidRDefault="00AD203D" w:rsidP="00B7136B">
      <w:pPr>
        <w:spacing w:line="480" w:lineRule="auto"/>
      </w:pPr>
    </w:p>
    <w:p w14:paraId="314B5522" w14:textId="5F06A794" w:rsidR="005B6787" w:rsidRPr="005B6787" w:rsidRDefault="001300C1" w:rsidP="00B7136B">
      <w:pPr>
        <w:spacing w:line="480" w:lineRule="auto"/>
        <w:rPr>
          <w:i/>
        </w:rPr>
      </w:pPr>
      <w:r>
        <w:rPr>
          <w:i/>
        </w:rPr>
        <w:t>Null Modeling</w:t>
      </w:r>
    </w:p>
    <w:p w14:paraId="1BC0620B" w14:textId="77777777" w:rsidR="005B6787" w:rsidRDefault="005B6787" w:rsidP="00B7136B">
      <w:pPr>
        <w:spacing w:line="480" w:lineRule="auto"/>
      </w:pPr>
    </w:p>
    <w:p w14:paraId="041CD62A" w14:textId="595053BE" w:rsidR="005B6787" w:rsidRPr="000E33C9" w:rsidRDefault="005B6787" w:rsidP="00B7136B">
      <w:pPr>
        <w:spacing w:line="480" w:lineRule="auto"/>
        <w:ind w:firstLine="720"/>
      </w:pPr>
      <w:r>
        <w:t xml:space="preserve">We implemented null modeling methodology developed by </w:t>
      </w:r>
      <w:proofErr w:type="spellStart"/>
      <w:r>
        <w:t>Stegen</w:t>
      </w:r>
      <w:proofErr w:type="spellEnd"/>
      <w:r>
        <w:t xml:space="preserve"> et al. </w:t>
      </w:r>
      <w:r>
        <w:fldChar w:fldCharType="begin"/>
      </w:r>
      <w:r w:rsidR="00B95A1C">
        <w:instrText xml:space="preserve"> ADDIN EN.CITE &lt;EndNote&gt;&lt;Cite ExcludeAuth="1"&gt;&lt;Author&gt;Stegen&lt;/Author&gt;&lt;Year&gt;2013&lt;/Year&gt;&lt;RecNum&gt;88&lt;/RecNum&gt;&lt;DisplayText&gt;(2013, 2015)&lt;/DisplayText&gt;&lt;record&gt;&lt;rec-number&gt;88&lt;/rec-number&gt;&lt;foreign-keys&gt;&lt;key app="EN" db-id="r5pft5av9ep25hez0eoxp2srxfxpptzds99r" timestamp="1454362076"&gt;88&lt;/key&gt;&lt;/foreign-keys&gt;&lt;ref-type name="Journal Article"&gt;17&lt;/ref-type&gt;&lt;contributors&gt;&lt;authors&gt;&lt;author&gt;Stegen, James C.&lt;/author&gt;&lt;author&gt;Lin, Xueju&lt;/author&gt;&lt;author&gt;Fredrickson, Jim K.&lt;/author&gt;&lt;author&gt;Chen, Xingyuan&lt;/author&gt;&lt;author&gt;Kennedy, David W.&lt;/author&gt;&lt;author&gt;Murray, Christopher J.&lt;/author&gt;&lt;author&gt;Rockhold, Mark L.&lt;/author&gt;&lt;author&gt;Konopka, Allan&lt;/author&gt;&lt;/authors&gt;&lt;/contributors&gt;&lt;titles&gt;&lt;title&gt;Quantifying community assembly processes and identifying features that impose them&lt;/title&gt;&lt;secondary-title&gt;The ISME journal&lt;/secondary-title&gt;&lt;/titles&gt;&lt;periodical&gt;&lt;full-title&gt;The ISME journal&lt;/full-title&gt;&lt;/periodical&gt;&lt;pages&gt;2069-2079&lt;/pages&gt;&lt;volume&gt;7&lt;/volume&gt;&lt;number&gt;11&lt;/number&gt;&lt;dates&gt;&lt;year&gt;2013&lt;/year&gt;&lt;/dates&gt;&lt;isbn&gt;1751-7362&lt;/isbn&gt;&lt;urls&gt;&lt;/urls&gt;&lt;/record&gt;&lt;/Cite&gt;&lt;Cite ExcludeAuth="1"&gt;&lt;Author&gt;Stegen&lt;/Author&gt;&lt;Year&gt;2015&lt;/Year&gt;&lt;RecNum&gt;26&lt;/RecNum&gt;&lt;record&gt;&lt;rec-number&gt;26&lt;/rec-number&gt;&lt;foreign-keys&gt;&lt;key app="EN" db-id="r5pft5av9ep25hez0eoxp2srxfxpptzds99r" timestamp="1448164750"&gt;26&lt;/key&gt;&lt;/foreign-keys&gt;&lt;ref-type name="Journal Article"&gt;17&lt;/ref-type&gt;&lt;contributors&gt;&lt;authors&gt;&lt;author&gt;Stegen, James C.&lt;/author&gt;&lt;author&gt;Lin, Xueju&lt;/author&gt;&lt;author&gt;Fredrickson, Jim K.&lt;/author&gt;&lt;author&gt;Konopka, Allan E.&lt;/author&gt;&lt;/authors&gt;&lt;/contributors&gt;&lt;titles&gt;&lt;title&gt;Estimating and mapping ecological processes influencing microbial community assembly&lt;/title&gt;&lt;secondary-title&gt;Frontiers in microbiology&lt;/secondary-title&gt;&lt;/titles&gt;&lt;periodical&gt;&lt;full-title&gt;Frontiers in microbiology&lt;/full-title&gt;&lt;/periodical&gt;&lt;volume&gt;6&lt;/volume&gt;&lt;dates&gt;&lt;year&gt;2015&lt;/year&gt;&lt;/dates&gt;&lt;urls&gt;&lt;/urls&gt;&lt;/record&gt;&lt;/Cite&gt;&lt;/EndNote&gt;</w:instrText>
      </w:r>
      <w:r>
        <w:fldChar w:fldCharType="separate"/>
      </w:r>
      <w:r w:rsidR="00B95A1C">
        <w:rPr>
          <w:noProof/>
        </w:rPr>
        <w:t>(2013, 2015)</w:t>
      </w:r>
      <w:r>
        <w:fldChar w:fldCharType="end"/>
      </w:r>
      <w:r>
        <w:t xml:space="preserve"> using R software (</w:t>
      </w:r>
      <w:r>
        <w:fldChar w:fldCharType="begin"/>
      </w:r>
      <w:r>
        <w:instrText xml:space="preserve"> HYPERLINK "http://cran.r-project.org/" \t "pmc_ext" </w:instrText>
      </w:r>
      <w:r>
        <w:fldChar w:fldCharType="separate"/>
      </w:r>
      <w:r w:rsidRPr="000E33C9">
        <w:rPr>
          <w:rStyle w:val="Hyperlink"/>
        </w:rPr>
        <w:t>http://cran.r-project.org/</w:t>
      </w:r>
      <w:r>
        <w:rPr>
          <w:rStyle w:val="Hyperlink"/>
        </w:rPr>
        <w:fldChar w:fldCharType="end"/>
      </w:r>
      <w:r>
        <w:t xml:space="preserve">) to disentangle microbial community assembly processes. The approach uses turnover among communities to infer the strength of selection, requiring a phylogenetic signal in data that indicates more closely related taxa are more ecologically similar than distantly related taxa </w:t>
      </w:r>
      <w:r>
        <w:fldChar w:fldCharType="begin"/>
      </w:r>
      <w:r>
        <w:instrText xml:space="preserve"> ADDIN EN.CITE &lt;EndNote&gt;&lt;Cite&gt;&lt;Author&gt;Losos&lt;/Author&gt;&lt;Year&gt;2008&lt;/Year&gt;&lt;RecNum&gt;139&lt;/RecNum&gt;&lt;DisplayText&gt;(Losos 2008)&lt;/DisplayText&gt;&lt;record&gt;&lt;rec-number&gt;139&lt;/rec-number&gt;&lt;foreign-keys&gt;&lt;key app="EN" db-id="r5pft5av9ep25hez0eoxp2srxfxpptzds99r" timestamp="1455576285"&gt;139&lt;/key&gt;&lt;/foreign-keys&gt;&lt;ref-type name="Journal Article"&gt;17&lt;/ref-type&gt;&lt;contributors&gt;&lt;authors&gt;&lt;author&gt;Losos, Jonathan B.&lt;/author&gt;&lt;/authors&gt;&lt;/contributors&gt;&lt;titles&gt;&lt;title&gt;Phylogenetic niche conservatism, phylogenetic signal and the relationship between phylogenetic relatedness and ecological similarity among species&lt;/title&gt;&lt;secondary-title&gt;Ecology letters&lt;/secondary-title&gt;&lt;/titles&gt;&lt;periodical&gt;&lt;full-title&gt;Ecology letters&lt;/full-title&gt;&lt;/periodical&gt;&lt;pages&gt;995-1003&lt;/pages&gt;&lt;volume&gt;11&lt;/volume&gt;&lt;number&gt;10&lt;/number&gt;&lt;dates&gt;&lt;year&gt;2008&lt;/year&gt;&lt;/dates&gt;&lt;isbn&gt;1461-0248&lt;/isbn&gt;&lt;urls&gt;&lt;/urls&gt;&lt;/record&gt;&lt;/Cite&gt;&lt;/EndNote&gt;</w:instrText>
      </w:r>
      <w:r>
        <w:fldChar w:fldCharType="separate"/>
      </w:r>
      <w:r>
        <w:rPr>
          <w:noProof/>
        </w:rPr>
        <w:t>(Losos 2008)</w:t>
      </w:r>
      <w:r>
        <w:fldChar w:fldCharType="end"/>
      </w:r>
      <w:r>
        <w:t xml:space="preserve">. This effect has been previously demonstrated for Hanford Site 300A subsurface communities </w:t>
      </w:r>
      <w:r>
        <w:fldChar w:fldCharType="begin"/>
      </w:r>
      <w:r w:rsidR="00B7136B">
        <w:instrText xml:space="preserve"> ADDIN EN.CITE &lt;EndNote&gt;&lt;Cite&gt;&lt;Author&gt;Stegen&lt;/Author&gt;&lt;Year&gt;2013&lt;/Year&gt;&lt;RecNum&gt;88&lt;/RecNum&gt;&lt;DisplayText&gt;(Stegen&lt;style face="italic"&gt; et al.&lt;/style&gt; 2013)&lt;/DisplayText&gt;&lt;record&gt;&lt;rec-number&gt;88&lt;/rec-number&gt;&lt;foreign-keys&gt;&lt;key app="EN" db-id="r5pft5av9ep25hez0eoxp2srxfxpptzds99r" timestamp="1454362076"&gt;88&lt;/key&gt;&lt;/foreign-keys&gt;&lt;ref-type name="Journal Article"&gt;17&lt;/ref-type&gt;&lt;contributors&gt;&lt;authors&gt;&lt;author&gt;Stegen, James C.&lt;/author&gt;&lt;author&gt;Lin, Xueju&lt;/author&gt;&lt;author&gt;Fredrickson, Jim K.&lt;/author&gt;&lt;author&gt;Chen, Xingyuan&lt;/author&gt;&lt;author&gt;Kennedy, David W.&lt;/author&gt;&lt;author&gt;Murray, Christopher J.&lt;/author&gt;&lt;author&gt;Rockhold, Mark L.&lt;/author&gt;&lt;author&gt;Konopka, Allan&lt;/author&gt;&lt;/authors&gt;&lt;/contributors&gt;&lt;titles&gt;&lt;title&gt;Quantifying community assembly processes and identifying features that impose them&lt;/title&gt;&lt;secondary-title&gt;The ISME journal&lt;/secondary-title&gt;&lt;/titles&gt;&lt;periodical&gt;&lt;full-title&gt;The ISME journal&lt;/full-title&gt;&lt;/periodical&gt;&lt;pages&gt;2069-2079&lt;/pages&gt;&lt;volume&gt;7&lt;/volume&gt;&lt;number&gt;11&lt;/number&gt;&lt;dates&gt;&lt;year&gt;2013&lt;/year&gt;&lt;/dates&gt;&lt;isbn&gt;1751-7362&lt;/isbn&gt;&lt;urls&gt;&lt;/urls&gt;&lt;/record&gt;&lt;/Cite&gt;&lt;/EndNote&gt;</w:instrText>
      </w:r>
      <w:r>
        <w:fldChar w:fldCharType="separate"/>
      </w:r>
      <w:r w:rsidR="00B7136B">
        <w:rPr>
          <w:noProof/>
        </w:rPr>
        <w:t>(Stegen</w:t>
      </w:r>
      <w:r w:rsidR="00B7136B" w:rsidRPr="00B7136B">
        <w:rPr>
          <w:i/>
          <w:noProof/>
        </w:rPr>
        <w:t xml:space="preserve"> et al.</w:t>
      </w:r>
      <w:r w:rsidR="00B7136B">
        <w:rPr>
          <w:noProof/>
        </w:rPr>
        <w:t xml:space="preserve"> 2013)</w:t>
      </w:r>
      <w:r>
        <w:fldChar w:fldCharType="end"/>
      </w:r>
      <w:r>
        <w:t xml:space="preserve">. To evaluate the strength of selection, pairwise phylogenetic turnover between communities was calculated using the </w:t>
      </w:r>
      <w:r>
        <w:rPr>
          <w:rFonts w:eastAsia="Times New Roman"/>
          <w:color w:val="000000"/>
          <w:shd w:val="clear" w:color="auto" w:fill="FFFFFF"/>
        </w:rPr>
        <w:t xml:space="preserve">mean-nearest-taxon-distance (βMNTD) metric </w:t>
      </w:r>
      <w:r>
        <w:rPr>
          <w:rFonts w:eastAsia="Times New Roman"/>
          <w:color w:val="000000"/>
          <w:shd w:val="clear" w:color="auto" w:fill="FFFFFF"/>
        </w:rPr>
        <w:fldChar w:fldCharType="begin"/>
      </w:r>
      <w:r w:rsidR="00B95A1C">
        <w:rPr>
          <w:rFonts w:eastAsia="Times New Roman"/>
          <w:color w:val="000000"/>
          <w:shd w:val="clear" w:color="auto" w:fill="FFFFFF"/>
        </w:rPr>
        <w:instrText xml:space="preserve"> ADDIN EN.CITE &lt;EndNote&gt;&lt;Cite&gt;&lt;Author&gt;Fine&lt;/Author&gt;&lt;Year&gt;2011&lt;/Year&gt;&lt;RecNum&gt;138&lt;/RecNum&gt;&lt;DisplayText&gt;(Fine and Kembel 2011, Webb&lt;style face="italic"&gt; et al.&lt;/style&gt; 2008)&lt;/DisplayText&gt;&lt;record&gt;&lt;rec-number&gt;138&lt;/rec-number&gt;&lt;foreign-keys&gt;&lt;key app="EN" db-id="r5pft5av9ep25hez0eoxp2srxfxpptzds99r" timestamp="1455576251"&gt;138&lt;/key&gt;&lt;/foreign-keys&gt;&lt;ref-type name="Journal Article"&gt;17&lt;/ref-type&gt;&lt;contributors&gt;&lt;authors&gt;&lt;author&gt;Fine, Paul V. A.&lt;/author&gt;&lt;author&gt;Kembel, Steven W.&lt;/author&gt;&lt;/authors&gt;&lt;/contributors&gt;&lt;titles&gt;&lt;title&gt;Phylogenetic community structure and phylogenetic turnover across space and edaphic gradients in western Amazonian tree communities&lt;/title&gt;&lt;secondary-title&gt;Ecography&lt;/secondary-title&gt;&lt;/titles&gt;&lt;periodical&gt;&lt;full-title&gt;Ecography&lt;/full-title&gt;&lt;/periodical&gt;&lt;pages&gt;552-565&lt;/pages&gt;&lt;volume&gt;34&lt;/volume&gt;&lt;number&gt;4&lt;/number&gt;&lt;dates&gt;&lt;year&gt;2011&lt;/year&gt;&lt;/dates&gt;&lt;isbn&gt;1600-0587&lt;/isbn&gt;&lt;urls&gt;&lt;/urls&gt;&lt;/record&gt;&lt;/Cite&gt;&lt;Cite&gt;&lt;Author&gt;Webb&lt;/Author&gt;&lt;Year&gt;2008&lt;/Year&gt;&lt;RecNum&gt;140&lt;/RecNum&gt;&lt;record&gt;&lt;rec-number&gt;140&lt;/rec-number&gt;&lt;foreign-keys&gt;&lt;key app="EN" db-id="r5pft5av9ep25hez0eoxp2srxfxpptzds99r" timestamp="1455576349"&gt;140&lt;/key&gt;&lt;/foreign-keys&gt;&lt;ref-type name="Journal Article"&gt;17&lt;/ref-type&gt;&lt;contributors&gt;&lt;authors&gt;&lt;author&gt;Webb, Campbell O.&lt;/author&gt;&lt;author&gt;Ackerly, David D.&lt;/author&gt;&lt;author&gt;Kembel, Steven W.&lt;/author&gt;&lt;/authors&gt;&lt;/contributors&gt;&lt;titles&gt;&lt;title&gt;Phylocom: software for the analysis of phylogenetic community structure and trait evolution&lt;/title&gt;&lt;secondary-title&gt;Bioinformatics&lt;/secondary-title&gt;&lt;/titles&gt;&lt;periodical&gt;&lt;full-title&gt;Bioinformatics&lt;/full-title&gt;&lt;/periodical&gt;&lt;pages&gt;2098-2100&lt;/pages&gt;&lt;volume&gt;24&lt;/volume&gt;&lt;number&gt;18&lt;/number&gt;&lt;dates&gt;&lt;year&gt;2008&lt;/year&gt;&lt;/dates&gt;&lt;isbn&gt;1367-4803&lt;/isbn&gt;&lt;urls&gt;&lt;/urls&gt;&lt;/record&gt;&lt;/Cite&gt;&lt;/EndNote&gt;</w:instrText>
      </w:r>
      <w:r>
        <w:rPr>
          <w:rFonts w:eastAsia="Times New Roman"/>
          <w:color w:val="000000"/>
          <w:shd w:val="clear" w:color="auto" w:fill="FFFFFF"/>
        </w:rPr>
        <w:fldChar w:fldCharType="separate"/>
      </w:r>
      <w:r w:rsidR="00B95A1C">
        <w:rPr>
          <w:rFonts w:eastAsia="Times New Roman"/>
          <w:noProof/>
          <w:color w:val="000000"/>
          <w:shd w:val="clear" w:color="auto" w:fill="FFFFFF"/>
        </w:rPr>
        <w:t>(Fine and Kembel 2011, Webb</w:t>
      </w:r>
      <w:r w:rsidR="00B95A1C" w:rsidRPr="00B95A1C">
        <w:rPr>
          <w:rFonts w:eastAsia="Times New Roman"/>
          <w:i/>
          <w:noProof/>
          <w:color w:val="000000"/>
          <w:shd w:val="clear" w:color="auto" w:fill="FFFFFF"/>
        </w:rPr>
        <w:t xml:space="preserve"> et al.</w:t>
      </w:r>
      <w:r w:rsidR="00B95A1C">
        <w:rPr>
          <w:rFonts w:eastAsia="Times New Roman"/>
          <w:noProof/>
          <w:color w:val="000000"/>
          <w:shd w:val="clear" w:color="auto" w:fill="FFFFFF"/>
        </w:rPr>
        <w:t xml:space="preserve"> 2008)</w:t>
      </w:r>
      <w:r>
        <w:rPr>
          <w:rFonts w:eastAsia="Times New Roman"/>
          <w:color w:val="000000"/>
          <w:shd w:val="clear" w:color="auto" w:fill="FFFFFF"/>
        </w:rPr>
        <w:fldChar w:fldCharType="end"/>
      </w:r>
      <w:r>
        <w:rPr>
          <w:rFonts w:eastAsia="Times New Roman"/>
          <w:color w:val="000000"/>
          <w:shd w:val="clear" w:color="auto" w:fill="FFFFFF"/>
        </w:rPr>
        <w:t xml:space="preserve"> in the </w:t>
      </w:r>
      <w:r w:rsidRPr="002F38A8">
        <w:rPr>
          <w:rFonts w:eastAsia="Times New Roman"/>
          <w:color w:val="000000"/>
          <w:shd w:val="clear" w:color="auto" w:fill="FFFFFF"/>
        </w:rPr>
        <w:t xml:space="preserve">R </w:t>
      </w:r>
      <w:r>
        <w:rPr>
          <w:rFonts w:eastAsia="Times New Roman"/>
          <w:color w:val="000000"/>
          <w:shd w:val="clear" w:color="auto" w:fill="FFFFFF"/>
        </w:rPr>
        <w:t xml:space="preserve">package ‘picante.’ For comparison, </w:t>
      </w:r>
      <w:proofErr w:type="gramStart"/>
      <w:r>
        <w:rPr>
          <w:rFonts w:eastAsia="Times New Roman"/>
          <w:color w:val="000000"/>
          <w:shd w:val="clear" w:color="auto" w:fill="FFFFFF"/>
        </w:rPr>
        <w:t>a null distribution of βMNTD values was generated by calculating pairwise βMNTD values from 999 randomizations, in which species were shuffled across phylogenetic tips</w:t>
      </w:r>
      <w:proofErr w:type="gramEnd"/>
      <w:r>
        <w:rPr>
          <w:rFonts w:eastAsia="Times New Roman"/>
          <w:color w:val="000000"/>
          <w:shd w:val="clear" w:color="auto" w:fill="FFFFFF"/>
        </w:rPr>
        <w:t xml:space="preserve">. Communities were evaluated for significantly less turnover than expected (βNTI &lt; -2, </w:t>
      </w:r>
      <w:r w:rsidR="003D211B">
        <w:rPr>
          <w:rFonts w:eastAsia="Times New Roman"/>
          <w:color w:val="000000"/>
          <w:shd w:val="clear" w:color="auto" w:fill="FFFFFF"/>
        </w:rPr>
        <w:t>homogeneous</w:t>
      </w:r>
      <w:r>
        <w:rPr>
          <w:rFonts w:eastAsia="Times New Roman"/>
          <w:color w:val="000000"/>
          <w:shd w:val="clear" w:color="auto" w:fill="FFFFFF"/>
        </w:rPr>
        <w:t xml:space="preserve"> selection) or more turnover than expected (βNTI &gt; 2, variable selection) by comparing observed βMNTD values to the mean of the null distribution </w:t>
      </w:r>
      <w:r w:rsidRPr="00960D99">
        <w:t>–</w:t>
      </w:r>
      <w:r>
        <w:rPr>
          <w:rFonts w:eastAsia="Times New Roman"/>
          <w:color w:val="000000"/>
          <w:shd w:val="clear" w:color="auto" w:fill="FFFFFF"/>
        </w:rPr>
        <w:t xml:space="preserve"> and normalizing by its standard deviation </w:t>
      </w:r>
      <w:r w:rsidRPr="00960D99">
        <w:t>–</w:t>
      </w:r>
      <w:r>
        <w:rPr>
          <w:rFonts w:eastAsia="Times New Roman"/>
          <w:color w:val="000000"/>
          <w:shd w:val="clear" w:color="auto" w:fill="FFFFFF"/>
        </w:rPr>
        <w:t xml:space="preserve"> to yield βNTI </w:t>
      </w:r>
      <w:r>
        <w:rPr>
          <w:rFonts w:eastAsia="Times New Roman"/>
          <w:color w:val="000000"/>
          <w:shd w:val="clear" w:color="auto" w:fill="FFFFFF"/>
        </w:rPr>
        <w:fldChar w:fldCharType="begin"/>
      </w:r>
      <w:r w:rsidR="00B7136B">
        <w:rPr>
          <w:rFonts w:eastAsia="Times New Roman"/>
          <w:color w:val="000000"/>
          <w:shd w:val="clear" w:color="auto" w:fill="FFFFFF"/>
        </w:rPr>
        <w:instrText xml:space="preserve"> ADDIN EN.CITE &lt;EndNote&gt;&lt;Cite&gt;&lt;Author&gt;Stegen&lt;/Author&gt;&lt;Year&gt;2012&lt;/Year&gt;&lt;RecNum&gt;19&lt;/RecNum&gt;&lt;DisplayText&gt;(Stegen&lt;style face="italic"&gt; et al.&lt;/style&gt; 2012)&lt;/DisplayText&gt;&lt;record&gt;&lt;rec-number&gt;19&lt;/rec-number&gt;&lt;foreign-keys&gt;&lt;key app="EN" db-id="r5pft5av9ep25hez0eoxp2srxfxpptzds99r" timestamp="1448163643"&gt;19&lt;/key&gt;&lt;/foreign-keys&gt;&lt;ref-type name="Journal Article"&gt;17&lt;/ref-type&gt;&lt;contributors&gt;&lt;authors&gt;&lt;author&gt;Stegen, James C.&lt;/author&gt;&lt;author&gt;Lin, Xueju&lt;/author&gt;&lt;author&gt;Konopka, Allan E.&lt;/author&gt;&lt;author&gt;Fredrickson, James K.&lt;/author&gt;&lt;/authors&gt;&lt;/contributors&gt;&lt;titles&gt;&lt;title&gt;Stochastic and deterministic assembly processes in subsurface microbial communities&lt;/title&gt;&lt;secondary-title&gt;The ISME journal&lt;/secondary-title&gt;&lt;/titles&gt;&lt;periodical&gt;&lt;full-title&gt;The ISME journal&lt;/full-title&gt;&lt;/periodical&gt;&lt;pages&gt;1653-1664&lt;/pages&gt;&lt;volume&gt;6&lt;/volume&gt;&lt;number&gt;9&lt;/number&gt;&lt;dates&gt;&lt;year&gt;2012&lt;/year&gt;&lt;/dates&gt;&lt;isbn&gt;1751-7362&lt;/isbn&gt;&lt;urls&gt;&lt;/urls&gt;&lt;/record&gt;&lt;/Cite&gt;&lt;/EndNote&gt;</w:instrText>
      </w:r>
      <w:r>
        <w:rPr>
          <w:rFonts w:eastAsia="Times New Roman"/>
          <w:color w:val="000000"/>
          <w:shd w:val="clear" w:color="auto" w:fill="FFFFFF"/>
        </w:rPr>
        <w:fldChar w:fldCharType="separate"/>
      </w:r>
      <w:r w:rsidR="00B7136B">
        <w:rPr>
          <w:rFonts w:eastAsia="Times New Roman"/>
          <w:noProof/>
          <w:color w:val="000000"/>
          <w:shd w:val="clear" w:color="auto" w:fill="FFFFFF"/>
        </w:rPr>
        <w:t>(Stegen</w:t>
      </w:r>
      <w:r w:rsidR="00B7136B" w:rsidRPr="00B7136B">
        <w:rPr>
          <w:rFonts w:eastAsia="Times New Roman"/>
          <w:i/>
          <w:noProof/>
          <w:color w:val="000000"/>
          <w:shd w:val="clear" w:color="auto" w:fill="FFFFFF"/>
        </w:rPr>
        <w:t xml:space="preserve"> et al.</w:t>
      </w:r>
      <w:r w:rsidR="00B7136B">
        <w:rPr>
          <w:rFonts w:eastAsia="Times New Roman"/>
          <w:noProof/>
          <w:color w:val="000000"/>
          <w:shd w:val="clear" w:color="auto" w:fill="FFFFFF"/>
        </w:rPr>
        <w:t xml:space="preserve"> 2012)</w:t>
      </w:r>
      <w:r>
        <w:rPr>
          <w:rFonts w:eastAsia="Times New Roman"/>
          <w:color w:val="000000"/>
          <w:shd w:val="clear" w:color="auto" w:fill="FFFFFF"/>
        </w:rPr>
        <w:fldChar w:fldCharType="end"/>
      </w:r>
      <w:r>
        <w:rPr>
          <w:rFonts w:eastAsia="Times New Roman"/>
          <w:color w:val="000000"/>
          <w:shd w:val="clear" w:color="auto" w:fill="FFFFFF"/>
        </w:rPr>
        <w:t xml:space="preserve">. </w:t>
      </w:r>
    </w:p>
    <w:p w14:paraId="3E7E089A" w14:textId="3F5E1274" w:rsidR="005B6787" w:rsidRDefault="005B6787" w:rsidP="00B7136B">
      <w:pPr>
        <w:spacing w:line="480" w:lineRule="auto"/>
      </w:pPr>
      <w:r>
        <w:rPr>
          <w:rFonts w:eastAsia="Times New Roman"/>
          <w:color w:val="000000"/>
          <w:shd w:val="clear" w:color="auto" w:fill="FFFFFF"/>
        </w:rPr>
        <w:tab/>
        <w:t xml:space="preserve">Pairwise community comparisons that did not deviate from the null βMNTD distribution were evaluated for the influences of dispersal limitation and homogenizing dispersal by calculating the </w:t>
      </w:r>
      <w:proofErr w:type="spellStart"/>
      <w:r>
        <w:rPr>
          <w:rFonts w:eastAsia="Times New Roman"/>
          <w:color w:val="000000"/>
          <w:shd w:val="clear" w:color="auto" w:fill="FFFFFF"/>
        </w:rPr>
        <w:t>Raup</w:t>
      </w:r>
      <w:proofErr w:type="spellEnd"/>
      <w:r>
        <w:rPr>
          <w:rFonts w:eastAsia="Times New Roman"/>
          <w:color w:val="000000"/>
          <w:shd w:val="clear" w:color="auto" w:fill="FFFFFF"/>
        </w:rPr>
        <w:t>-Crick metric extended to account for species relative abundances (</w:t>
      </w:r>
      <w:proofErr w:type="spellStart"/>
      <w:r>
        <w:rPr>
          <w:rFonts w:eastAsia="Times New Roman"/>
          <w:color w:val="000000"/>
          <w:shd w:val="clear" w:color="auto" w:fill="FFFFFF"/>
        </w:rPr>
        <w:t>RC</w:t>
      </w:r>
      <w:r w:rsidRPr="00E66742">
        <w:rPr>
          <w:rFonts w:eastAsia="Times New Roman"/>
          <w:color w:val="000000"/>
          <w:shd w:val="clear" w:color="auto" w:fill="FFFFFF"/>
          <w:vertAlign w:val="subscript"/>
        </w:rPr>
        <w:t>bray</w:t>
      </w:r>
      <w:proofErr w:type="spellEnd"/>
      <w:r>
        <w:rPr>
          <w:rFonts w:eastAsia="Times New Roman"/>
          <w:color w:val="000000"/>
          <w:shd w:val="clear" w:color="auto" w:fill="FFFFFF"/>
        </w:rPr>
        <w:t xml:space="preserve">), as per </w:t>
      </w:r>
      <w:proofErr w:type="spellStart"/>
      <w:r>
        <w:rPr>
          <w:rFonts w:eastAsia="Times New Roman"/>
          <w:color w:val="000000"/>
          <w:shd w:val="clear" w:color="auto" w:fill="FFFFFF"/>
        </w:rPr>
        <w:t>Stegen</w:t>
      </w:r>
      <w:proofErr w:type="spellEnd"/>
      <w:r>
        <w:rPr>
          <w:rFonts w:eastAsia="Times New Roman"/>
          <w:color w:val="000000"/>
          <w:shd w:val="clear" w:color="auto" w:fill="FFFFFF"/>
        </w:rPr>
        <w:t xml:space="preserve"> et al. </w:t>
      </w:r>
      <w:r>
        <w:rPr>
          <w:rFonts w:eastAsia="Times New Roman"/>
          <w:color w:val="000000"/>
          <w:shd w:val="clear" w:color="auto" w:fill="FFFFFF"/>
        </w:rPr>
        <w:fldChar w:fldCharType="begin"/>
      </w:r>
      <w:r w:rsidR="00B95A1C">
        <w:rPr>
          <w:rFonts w:eastAsia="Times New Roman"/>
          <w:color w:val="000000"/>
          <w:shd w:val="clear" w:color="auto" w:fill="FFFFFF"/>
        </w:rPr>
        <w:instrText xml:space="preserve"> ADDIN EN.CITE &lt;EndNote&gt;&lt;Cite ExcludeAuth="1"&gt;&lt;Author&gt;Stegen&lt;/Author&gt;&lt;Year&gt;2013&lt;/Year&gt;&lt;RecNum&gt;88&lt;/RecNum&gt;&lt;DisplayText&gt;(2013, 2015)&lt;/DisplayText&gt;&lt;record&gt;&lt;rec-number&gt;88&lt;/rec-number&gt;&lt;foreign-keys&gt;&lt;key app="EN" db-id="r5pft5av9ep25hez0eoxp2srxfxpptzds99r" timestamp="1454362076"&gt;88&lt;/key&gt;&lt;/foreign-keys&gt;&lt;ref-type name="Journal Article"&gt;17&lt;/ref-type&gt;&lt;contributors&gt;&lt;authors&gt;&lt;author&gt;Stegen, James C.&lt;/author&gt;&lt;author&gt;Lin, Xueju&lt;/author&gt;&lt;author&gt;Fredrickson, Jim K.&lt;/author&gt;&lt;author&gt;Chen, Xingyuan&lt;/author&gt;&lt;author&gt;Kennedy, David W.&lt;/author&gt;&lt;author&gt;Murray, Christopher J.&lt;/author&gt;&lt;author&gt;Rockhold, Mark L.&lt;/author&gt;&lt;author&gt;Konopka, Allan&lt;/author&gt;&lt;/authors&gt;&lt;/contributors&gt;&lt;titles&gt;&lt;title&gt;Quantifying community assembly processes and identifying features that impose them&lt;/title&gt;&lt;secondary-title&gt;The ISME journal&lt;/secondary-title&gt;&lt;/titles&gt;&lt;periodical&gt;&lt;full-title&gt;The ISME journal&lt;/full-title&gt;&lt;/periodical&gt;&lt;pages&gt;2069-2079&lt;/pages&gt;&lt;volume&gt;7&lt;/volume&gt;&lt;number&gt;11&lt;/number&gt;&lt;dates&gt;&lt;year&gt;2013&lt;/year&gt;&lt;/dates&gt;&lt;isbn&gt;1751-7362&lt;/isbn&gt;&lt;urls&gt;&lt;/urls&gt;&lt;/record&gt;&lt;/Cite&gt;&lt;Cite ExcludeAuth="1"&gt;&lt;Author&gt;Stegen&lt;/Author&gt;&lt;Year&gt;2015&lt;/Year&gt;&lt;RecNum&gt;26&lt;/RecNum&gt;&lt;record&gt;&lt;rec-number&gt;26&lt;/rec-number&gt;&lt;foreign-keys&gt;&lt;key app="EN" db-id="r5pft5av9ep25hez0eoxp2srxfxpptzds99r" timestamp="1448164750"&gt;26&lt;/key&gt;&lt;/foreign-keys&gt;&lt;ref-type name="Journal Article"&gt;17&lt;/ref-type&gt;&lt;contributors&gt;&lt;authors&gt;&lt;author&gt;Stegen, James C.&lt;/author&gt;&lt;author&gt;Lin, Xueju&lt;/author&gt;&lt;author&gt;Fredrickson, Jim K.&lt;/author&gt;&lt;author&gt;Konopka, Allan E.&lt;/author&gt;&lt;/authors&gt;&lt;/contributors&gt;&lt;titles&gt;&lt;title&gt;Estimating and mapping ecological processes influencing microbial community assembly&lt;/title&gt;&lt;secondary-title&gt;Frontiers in microbiology&lt;/secondary-title&gt;&lt;/titles&gt;&lt;periodical&gt;&lt;full-title&gt;Frontiers in microbiology&lt;/full-title&gt;&lt;/periodical&gt;&lt;volume&gt;6&lt;/volume&gt;&lt;dates&gt;&lt;year&gt;2015&lt;/year&gt;&lt;/dates&gt;&lt;urls&gt;&lt;/urls&gt;&lt;/record&gt;&lt;/Cite&gt;&lt;/EndNote&gt;</w:instrText>
      </w:r>
      <w:r>
        <w:rPr>
          <w:rFonts w:eastAsia="Times New Roman"/>
          <w:color w:val="000000"/>
          <w:shd w:val="clear" w:color="auto" w:fill="FFFFFF"/>
        </w:rPr>
        <w:fldChar w:fldCharType="separate"/>
      </w:r>
      <w:r w:rsidR="00B95A1C">
        <w:rPr>
          <w:rFonts w:eastAsia="Times New Roman"/>
          <w:noProof/>
          <w:color w:val="000000"/>
          <w:shd w:val="clear" w:color="auto" w:fill="FFFFFF"/>
        </w:rPr>
        <w:t>(2013, 2015)</w:t>
      </w:r>
      <w:r>
        <w:rPr>
          <w:rFonts w:eastAsia="Times New Roman"/>
          <w:color w:val="000000"/>
          <w:shd w:val="clear" w:color="auto" w:fill="FFFFFF"/>
        </w:rPr>
        <w:fldChar w:fldCharType="end"/>
      </w:r>
      <w:r>
        <w:rPr>
          <w:rFonts w:eastAsia="Times New Roman"/>
          <w:color w:val="000000"/>
          <w:shd w:val="clear" w:color="auto" w:fill="FFFFFF"/>
        </w:rPr>
        <w:t xml:space="preserve">. The global species pool for null realizations of Bray-Curtis dissimilarities consisted of all OTUs occurring more than once in our dataset plus those occurring once in groundwater and river water samples. Observed Bray-Curtis dissimilarities were compared to the null distribution to derive </w:t>
      </w:r>
      <w:proofErr w:type="spellStart"/>
      <w:r>
        <w:rPr>
          <w:rFonts w:eastAsia="Times New Roman"/>
          <w:color w:val="000000"/>
          <w:shd w:val="clear" w:color="auto" w:fill="FFFFFF"/>
        </w:rPr>
        <w:t>RC</w:t>
      </w:r>
      <w:r w:rsidRPr="007401F6">
        <w:rPr>
          <w:rFonts w:eastAsia="Times New Roman"/>
          <w:color w:val="000000"/>
          <w:shd w:val="clear" w:color="auto" w:fill="FFFFFF"/>
          <w:vertAlign w:val="subscript"/>
        </w:rPr>
        <w:t>bray</w:t>
      </w:r>
      <w:proofErr w:type="spellEnd"/>
      <w:r>
        <w:rPr>
          <w:rFonts w:eastAsia="Times New Roman"/>
          <w:color w:val="000000"/>
          <w:shd w:val="clear" w:color="auto" w:fill="FFFFFF"/>
        </w:rPr>
        <w:t xml:space="preserve"> according to </w:t>
      </w:r>
      <w:proofErr w:type="spellStart"/>
      <w:r>
        <w:rPr>
          <w:rFonts w:eastAsia="Times New Roman"/>
          <w:color w:val="000000"/>
          <w:shd w:val="clear" w:color="auto" w:fill="FFFFFF"/>
        </w:rPr>
        <w:t>Stegen</w:t>
      </w:r>
      <w:proofErr w:type="spellEnd"/>
      <w:r>
        <w:rPr>
          <w:rFonts w:eastAsia="Times New Roman"/>
          <w:color w:val="000000"/>
          <w:shd w:val="clear" w:color="auto" w:fill="FFFFFF"/>
        </w:rPr>
        <w:t xml:space="preserve"> et al. </w:t>
      </w:r>
      <w:r>
        <w:rPr>
          <w:rFonts w:eastAsia="Times New Roman"/>
          <w:color w:val="000000"/>
          <w:shd w:val="clear" w:color="auto" w:fill="FFFFFF"/>
        </w:rPr>
        <w:fldChar w:fldCharType="begin"/>
      </w:r>
      <w:r w:rsidR="00B95A1C">
        <w:rPr>
          <w:rFonts w:eastAsia="Times New Roman"/>
          <w:color w:val="000000"/>
          <w:shd w:val="clear" w:color="auto" w:fill="FFFFFF"/>
        </w:rPr>
        <w:instrText xml:space="preserve"> ADDIN EN.CITE &lt;EndNote&gt;&lt;Cite ExcludeAuth="1"&gt;&lt;Author&gt;Stegen&lt;/Author&gt;&lt;Year&gt;2013&lt;/Year&gt;&lt;RecNum&gt;88&lt;/RecNum&gt;&lt;DisplayText&gt;(2013, 2015)&lt;/DisplayText&gt;&lt;record&gt;&lt;rec-number&gt;88&lt;/rec-number&gt;&lt;foreign-keys&gt;&lt;key app="EN" db-id="r5pft5av9ep25hez0eoxp2srxfxpptzds99r" timestamp="1454362076"&gt;88&lt;/key&gt;&lt;/foreign-keys&gt;&lt;ref-type name="Journal Article"&gt;17&lt;/ref-type&gt;&lt;contributors&gt;&lt;authors&gt;&lt;author&gt;Stegen, James C.&lt;/author&gt;&lt;author&gt;Lin, Xueju&lt;/author&gt;&lt;author&gt;Fredrickson, Jim K.&lt;/author&gt;&lt;author&gt;Chen, Xingyuan&lt;/author&gt;&lt;author&gt;Kennedy, David W.&lt;/author&gt;&lt;author&gt;Murray, Christopher J.&lt;/author&gt;&lt;author&gt;Rockhold, Mark L.&lt;/author&gt;&lt;author&gt;Konopka, Allan&lt;/author&gt;&lt;/authors&gt;&lt;/contributors&gt;&lt;titles&gt;&lt;title&gt;Quantifying community assembly processes and identifying features that impose them&lt;/title&gt;&lt;secondary-title&gt;The ISME journal&lt;/secondary-title&gt;&lt;/titles&gt;&lt;periodical&gt;&lt;full-title&gt;The ISME journal&lt;/full-title&gt;&lt;/periodical&gt;&lt;pages&gt;2069-2079&lt;/pages&gt;&lt;volume&gt;7&lt;/volume&gt;&lt;number&gt;11&lt;/number&gt;&lt;dates&gt;&lt;year&gt;2013&lt;/year&gt;&lt;/dates&gt;&lt;isbn&gt;1751-7362&lt;/isbn&gt;&lt;urls&gt;&lt;/urls&gt;&lt;/record&gt;&lt;/Cite&gt;&lt;Cite ExcludeAuth="1"&gt;&lt;Author&gt;Stegen&lt;/Author&gt;&lt;Year&gt;2015&lt;/Year&gt;&lt;RecNum&gt;26&lt;/RecNum&gt;&lt;record&gt;&lt;rec-number&gt;26&lt;/rec-number&gt;&lt;foreign-keys&gt;&lt;key app="EN" db-id="r5pft5av9ep25hez0eoxp2srxfxpptzds99r" timestamp="1448164750"&gt;26&lt;/key&gt;&lt;/foreign-keys&gt;&lt;ref-type name="Journal Article"&gt;17&lt;/ref-type&gt;&lt;contributors&gt;&lt;authors&gt;&lt;author&gt;Stegen, James C.&lt;/author&gt;&lt;author&gt;Lin, Xueju&lt;/author&gt;&lt;author&gt;Fredrickson, Jim K.&lt;/author&gt;&lt;author&gt;Konopka, Allan E.&lt;/author&gt;&lt;/authors&gt;&lt;/contributors&gt;&lt;titles&gt;&lt;title&gt;Estimating and mapping ecological processes influencing microbial community assembly&lt;/title&gt;&lt;secondary-title&gt;Frontiers in microbiology&lt;/secondary-title&gt;&lt;/titles&gt;&lt;periodical&gt;&lt;full-title&gt;Frontiers in microbiology&lt;/full-title&gt;&lt;/periodical&gt;&lt;volume&gt;6&lt;/volume&gt;&lt;dates&gt;&lt;year&gt;2015&lt;/year&gt;&lt;/dates&gt;&lt;urls&gt;&lt;/urls&gt;&lt;/record&gt;&lt;/Cite&gt;&lt;/EndNote&gt;</w:instrText>
      </w:r>
      <w:r>
        <w:rPr>
          <w:rFonts w:eastAsia="Times New Roman"/>
          <w:color w:val="000000"/>
          <w:shd w:val="clear" w:color="auto" w:fill="FFFFFF"/>
        </w:rPr>
        <w:fldChar w:fldCharType="separate"/>
      </w:r>
      <w:r w:rsidR="00B95A1C">
        <w:rPr>
          <w:rFonts w:eastAsia="Times New Roman"/>
          <w:noProof/>
          <w:color w:val="000000"/>
          <w:shd w:val="clear" w:color="auto" w:fill="FFFFFF"/>
        </w:rPr>
        <w:t>(2013, 2015)</w:t>
      </w:r>
      <w:r>
        <w:rPr>
          <w:rFonts w:eastAsia="Times New Roman"/>
          <w:color w:val="000000"/>
          <w:shd w:val="clear" w:color="auto" w:fill="FFFFFF"/>
        </w:rPr>
        <w:fldChar w:fldCharType="end"/>
      </w:r>
      <w:r>
        <w:rPr>
          <w:rFonts w:eastAsia="Times New Roman"/>
          <w:color w:val="000000"/>
          <w:shd w:val="clear" w:color="auto" w:fill="FFFFFF"/>
        </w:rPr>
        <w:t xml:space="preserve">. </w:t>
      </w:r>
      <w:proofErr w:type="spellStart"/>
      <w:r>
        <w:rPr>
          <w:rFonts w:eastAsia="Times New Roman"/>
          <w:color w:val="000000"/>
          <w:shd w:val="clear" w:color="auto" w:fill="FFFFFF"/>
        </w:rPr>
        <w:t>RC</w:t>
      </w:r>
      <w:r w:rsidRPr="007401F6">
        <w:rPr>
          <w:rFonts w:eastAsia="Times New Roman"/>
          <w:color w:val="000000"/>
          <w:shd w:val="clear" w:color="auto" w:fill="FFFFFF"/>
          <w:vertAlign w:val="subscript"/>
        </w:rPr>
        <w:t>bray</w:t>
      </w:r>
      <w:proofErr w:type="spellEnd"/>
      <w:r>
        <w:rPr>
          <w:rFonts w:eastAsia="Times New Roman"/>
          <w:color w:val="000000"/>
          <w:shd w:val="clear" w:color="auto" w:fill="FFFFFF"/>
        </w:rPr>
        <w:t xml:space="preserve"> values &gt; 0.95 were assumed to indicate prevailing dispersal limitation with </w:t>
      </w:r>
      <w:proofErr w:type="spellStart"/>
      <w:r>
        <w:rPr>
          <w:rFonts w:eastAsia="Times New Roman"/>
          <w:color w:val="000000"/>
          <w:shd w:val="clear" w:color="auto" w:fill="FFFFFF"/>
        </w:rPr>
        <w:t>RC</w:t>
      </w:r>
      <w:r w:rsidRPr="007401F6">
        <w:rPr>
          <w:rFonts w:eastAsia="Times New Roman"/>
          <w:color w:val="000000"/>
          <w:shd w:val="clear" w:color="auto" w:fill="FFFFFF"/>
          <w:vertAlign w:val="subscript"/>
        </w:rPr>
        <w:t>bray</w:t>
      </w:r>
      <w:proofErr w:type="spellEnd"/>
      <w:r>
        <w:rPr>
          <w:rFonts w:eastAsia="Times New Roman"/>
          <w:color w:val="000000"/>
          <w:shd w:val="clear" w:color="auto" w:fill="FFFFFF"/>
        </w:rPr>
        <w:t xml:space="preserve"> values </w:t>
      </w:r>
      <w:r>
        <w:rPr>
          <w:rFonts w:eastAsia="Times New Roman"/>
          <w:color w:val="000000"/>
          <w:shd w:val="clear" w:color="auto" w:fill="FFFFFF"/>
        </w:rPr>
        <w:lastRenderedPageBreak/>
        <w:t xml:space="preserve">&lt; -0.95 indicating homogenizing dispersal and </w:t>
      </w:r>
      <w:proofErr w:type="spellStart"/>
      <w:r>
        <w:rPr>
          <w:rFonts w:eastAsia="Times New Roman"/>
          <w:color w:val="000000"/>
          <w:shd w:val="clear" w:color="auto" w:fill="FFFFFF"/>
        </w:rPr>
        <w:t>RC</w:t>
      </w:r>
      <w:r w:rsidRPr="007401F6">
        <w:rPr>
          <w:rFonts w:eastAsia="Times New Roman"/>
          <w:color w:val="000000"/>
          <w:shd w:val="clear" w:color="auto" w:fill="FFFFFF"/>
          <w:vertAlign w:val="subscript"/>
        </w:rPr>
        <w:t>bray</w:t>
      </w:r>
      <w:proofErr w:type="spellEnd"/>
      <w:r>
        <w:rPr>
          <w:rFonts w:eastAsia="Times New Roman"/>
          <w:color w:val="000000"/>
          <w:shd w:val="clear" w:color="auto" w:fill="FFFFFF"/>
        </w:rPr>
        <w:t xml:space="preserve"> between -0.95 and 0.95 indicating no dominant assembly process. The noted inferences derived from both βNTI and </w:t>
      </w:r>
      <w:proofErr w:type="spellStart"/>
      <w:r>
        <w:rPr>
          <w:rFonts w:eastAsia="Times New Roman"/>
          <w:color w:val="000000"/>
          <w:shd w:val="clear" w:color="auto" w:fill="FFFFFF"/>
        </w:rPr>
        <w:t>RC</w:t>
      </w:r>
      <w:r w:rsidRPr="007401F6">
        <w:rPr>
          <w:rFonts w:eastAsia="Times New Roman"/>
          <w:color w:val="000000"/>
          <w:shd w:val="clear" w:color="auto" w:fill="FFFFFF"/>
          <w:vertAlign w:val="subscript"/>
        </w:rPr>
        <w:t>bray</w:t>
      </w:r>
      <w:proofErr w:type="spellEnd"/>
      <w:r>
        <w:rPr>
          <w:rFonts w:eastAsia="Times New Roman"/>
          <w:color w:val="000000"/>
          <w:shd w:val="clear" w:color="auto" w:fill="FFFFFF"/>
        </w:rPr>
        <w:t xml:space="preserve"> have previously been shown to be robust </w:t>
      </w:r>
      <w:r>
        <w:rPr>
          <w:rFonts w:eastAsia="Times New Roman"/>
          <w:color w:val="000000"/>
          <w:shd w:val="clear" w:color="auto" w:fill="FFFFFF"/>
        </w:rPr>
        <w:fldChar w:fldCharType="begin"/>
      </w:r>
      <w:r w:rsidR="00B95A1C">
        <w:rPr>
          <w:rFonts w:eastAsia="Times New Roman"/>
          <w:color w:val="000000"/>
          <w:shd w:val="clear" w:color="auto" w:fill="FFFFFF"/>
        </w:rPr>
        <w:instrText xml:space="preserve"> ADDIN EN.CITE &lt;EndNote&gt;&lt;Cite&gt;&lt;Author&gt;Dini-Andreote&lt;/Author&gt;&lt;Year&gt;2015&lt;/Year&gt;&lt;RecNum&gt;27&lt;/RecNum&gt;&lt;DisplayText&gt;(Dini-Andreote&lt;style face="italic"&gt; et al.&lt;/style&gt; 2015, Stegen&lt;style face="italic"&gt; et al.&lt;/style&gt; 2015)&lt;/DisplayText&gt;&lt;record&gt;&lt;rec-number&gt;27&lt;/rec-number&gt;&lt;foreign-keys&gt;&lt;key app="EN" db-id="r5pft5av9ep25hez0eoxp2srxfxpptzds99r" timestamp="1448164818"&gt;27&lt;/key&gt;&lt;/foreign-keys&gt;&lt;ref-type name="Journal Article"&gt;17&lt;/ref-type&gt;&lt;contributors&gt;&lt;authors&gt;&lt;author&gt;Dini-Andreote, Francisco&lt;/author&gt;&lt;author&gt;Stegen, James C.&lt;/author&gt;&lt;author&gt;van Elsas, Jan Dirk&lt;/author&gt;&lt;author&gt;Salles, Joana Falcão&lt;/author&gt;&lt;/authors&gt;&lt;/contributors&gt;&lt;titles&gt;&lt;title&gt;Disentangling mechanisms that mediate the balance between stochastic and deterministic processes in microbial succession&lt;/title&gt;&lt;secondary-title&gt;Proceedings of the National Academy of Sciences&lt;/secondary-title&gt;&lt;/titles&gt;&lt;periodical&gt;&lt;full-title&gt;Proceedings of the National Academy of Sciences&lt;/full-title&gt;&lt;/periodical&gt;&lt;pages&gt;E1326-E1332&lt;/pages&gt;&lt;volume&gt;112&lt;/volume&gt;&lt;number&gt;11&lt;/number&gt;&lt;dates&gt;&lt;year&gt;2015&lt;/year&gt;&lt;/dates&gt;&lt;isbn&gt;0027-8424&lt;/isbn&gt;&lt;urls&gt;&lt;/urls&gt;&lt;/record&gt;&lt;/Cite&gt;&lt;Cite&gt;&lt;Author&gt;Stegen&lt;/Author&gt;&lt;Year&gt;2015&lt;/Year&gt;&lt;RecNum&gt;26&lt;/RecNum&gt;&lt;record&gt;&lt;rec-number&gt;26&lt;/rec-number&gt;&lt;foreign-keys&gt;&lt;key app="EN" db-id="r5pft5av9ep25hez0eoxp2srxfxpptzds99r" timestamp="1448164750"&gt;26&lt;/key&gt;&lt;/foreign-keys&gt;&lt;ref-type name="Journal Article"&gt;17&lt;/ref-type&gt;&lt;contributors&gt;&lt;authors&gt;&lt;author&gt;Stegen, James C.&lt;/author&gt;&lt;author&gt;Lin, Xueju&lt;/author&gt;&lt;author&gt;Fredrickson, Jim K.&lt;/author&gt;&lt;author&gt;Konopka, Allan E.&lt;/author&gt;&lt;/authors&gt;&lt;/contributors&gt;&lt;titles&gt;&lt;title&gt;Estimating and mapping ecological processes influencing microbial community assembly&lt;/title&gt;&lt;secondary-title&gt;Frontiers in microbiology&lt;/secondary-title&gt;&lt;/titles&gt;&lt;periodical&gt;&lt;full-title&gt;Frontiers in microbiology&lt;/full-title&gt;&lt;/periodical&gt;&lt;volume&gt;6&lt;/volume&gt;&lt;dates&gt;&lt;year&gt;2015&lt;/year&gt;&lt;/dates&gt;&lt;urls&gt;&lt;/urls&gt;&lt;/record&gt;&lt;/Cite&gt;&lt;/EndNote&gt;</w:instrText>
      </w:r>
      <w:r>
        <w:rPr>
          <w:rFonts w:eastAsia="Times New Roman"/>
          <w:color w:val="000000"/>
          <w:shd w:val="clear" w:color="auto" w:fill="FFFFFF"/>
        </w:rPr>
        <w:fldChar w:fldCharType="separate"/>
      </w:r>
      <w:r w:rsidR="00B95A1C">
        <w:rPr>
          <w:rFonts w:eastAsia="Times New Roman"/>
          <w:noProof/>
          <w:color w:val="000000"/>
          <w:shd w:val="clear" w:color="auto" w:fill="FFFFFF"/>
        </w:rPr>
        <w:t>(Dini-Andreote</w:t>
      </w:r>
      <w:r w:rsidR="00B95A1C" w:rsidRPr="00B95A1C">
        <w:rPr>
          <w:rFonts w:eastAsia="Times New Roman"/>
          <w:i/>
          <w:noProof/>
          <w:color w:val="000000"/>
          <w:shd w:val="clear" w:color="auto" w:fill="FFFFFF"/>
        </w:rPr>
        <w:t xml:space="preserve"> et al.</w:t>
      </w:r>
      <w:r w:rsidR="00B95A1C">
        <w:rPr>
          <w:rFonts w:eastAsia="Times New Roman"/>
          <w:noProof/>
          <w:color w:val="000000"/>
          <w:shd w:val="clear" w:color="auto" w:fill="FFFFFF"/>
        </w:rPr>
        <w:t xml:space="preserve"> 2015, Stegen</w:t>
      </w:r>
      <w:r w:rsidR="00B95A1C" w:rsidRPr="00B95A1C">
        <w:rPr>
          <w:rFonts w:eastAsia="Times New Roman"/>
          <w:i/>
          <w:noProof/>
          <w:color w:val="000000"/>
          <w:shd w:val="clear" w:color="auto" w:fill="FFFFFF"/>
        </w:rPr>
        <w:t xml:space="preserve"> et al.</w:t>
      </w:r>
      <w:r w:rsidR="00B95A1C">
        <w:rPr>
          <w:rFonts w:eastAsia="Times New Roman"/>
          <w:noProof/>
          <w:color w:val="000000"/>
          <w:shd w:val="clear" w:color="auto" w:fill="FFFFFF"/>
        </w:rPr>
        <w:t xml:space="preserve"> 2015)</w:t>
      </w:r>
      <w:r>
        <w:rPr>
          <w:rFonts w:eastAsia="Times New Roman"/>
          <w:color w:val="000000"/>
          <w:shd w:val="clear" w:color="auto" w:fill="FFFFFF"/>
        </w:rPr>
        <w:fldChar w:fldCharType="end"/>
      </w:r>
    </w:p>
    <w:p w14:paraId="320DD8BD" w14:textId="77777777" w:rsidR="005B6787" w:rsidRDefault="005B6787" w:rsidP="00B7136B">
      <w:pPr>
        <w:spacing w:line="480" w:lineRule="auto"/>
      </w:pPr>
    </w:p>
    <w:p w14:paraId="77176AFE" w14:textId="081DC8B0" w:rsidR="00C84334" w:rsidRPr="00A52C26" w:rsidRDefault="00E72BA7" w:rsidP="00B7136B">
      <w:pPr>
        <w:spacing w:line="480" w:lineRule="auto"/>
        <w:rPr>
          <w:i/>
        </w:rPr>
      </w:pPr>
      <w:proofErr w:type="spellStart"/>
      <w:r>
        <w:rPr>
          <w:i/>
        </w:rPr>
        <w:t>Univariate</w:t>
      </w:r>
      <w:proofErr w:type="spellEnd"/>
      <w:r w:rsidR="001300C1">
        <w:rPr>
          <w:i/>
        </w:rPr>
        <w:t xml:space="preserve"> Analysis</w:t>
      </w:r>
    </w:p>
    <w:p w14:paraId="6311AA42" w14:textId="2CBA0123" w:rsidR="008946FB" w:rsidRDefault="00C84334" w:rsidP="00B7136B">
      <w:pPr>
        <w:spacing w:line="480" w:lineRule="auto"/>
        <w:ind w:firstLine="720"/>
      </w:pPr>
      <w:r>
        <w:t xml:space="preserve">Variables exhibiting non-normal distributions were log transformed prior to regression analysis. </w:t>
      </w:r>
      <w:proofErr w:type="gramStart"/>
      <w:r>
        <w:t>Variation in temperature</w:t>
      </w:r>
      <w:r w:rsidR="008946FB">
        <w:t xml:space="preserve"> and species richness </w:t>
      </w:r>
      <w:r>
        <w:t xml:space="preserve">through time </w:t>
      </w:r>
      <w:r w:rsidR="008946FB">
        <w:t>were</w:t>
      </w:r>
      <w:proofErr w:type="gramEnd"/>
      <w:r w:rsidR="008946FB">
        <w:t xml:space="preserve"> assessed </w:t>
      </w:r>
      <w:r>
        <w:t xml:space="preserve">with quadratic regression models. </w:t>
      </w:r>
      <w:r w:rsidR="004A5E4B">
        <w:t xml:space="preserve">Species richness (defined as the number of species observed in a sample) was assessed for correlations with </w:t>
      </w:r>
      <w:proofErr w:type="spellStart"/>
      <w:r w:rsidR="004A5E4B">
        <w:t>porewater</w:t>
      </w:r>
      <w:proofErr w:type="spellEnd"/>
      <w:r w:rsidR="004A5E4B">
        <w:t xml:space="preserve"> temperature, chloride concentration, and NPOC content using linear or quadratic regression models, as appropriate. </w:t>
      </w:r>
      <w:r w:rsidR="008946FB">
        <w:t>Differences in chloride and NPOC concentrations before and after a shift in hydrology at July 22 were assessed with one-side</w:t>
      </w:r>
      <w:r w:rsidR="004A5E4B">
        <w:t>d</w:t>
      </w:r>
      <w:r w:rsidR="008946FB">
        <w:t xml:space="preserve"> Mann Whitney </w:t>
      </w:r>
      <w:r w:rsidR="008946FB" w:rsidRPr="008946FB">
        <w:rPr>
          <w:i/>
        </w:rPr>
        <w:t>U</w:t>
      </w:r>
      <w:r w:rsidR="008946FB">
        <w:t xml:space="preserve"> tests.</w:t>
      </w:r>
    </w:p>
    <w:p w14:paraId="6BA2A854" w14:textId="08B2BCB9" w:rsidR="00C84334" w:rsidRPr="004A5E4B" w:rsidRDefault="004A5E4B" w:rsidP="00B7136B">
      <w:pPr>
        <w:spacing w:line="480" w:lineRule="auto"/>
        <w:ind w:firstLine="720"/>
      </w:pPr>
      <w:r>
        <w:t xml:space="preserve">In attached communities, </w:t>
      </w:r>
      <w:proofErr w:type="spellStart"/>
      <w:r w:rsidR="00C84334">
        <w:t>Raz</w:t>
      </w:r>
      <w:proofErr w:type="gramStart"/>
      <w:r w:rsidR="00C84334">
        <w:t>:ATP</w:t>
      </w:r>
      <w:proofErr w:type="spellEnd"/>
      <w:proofErr w:type="gramEnd"/>
      <w:r w:rsidR="00C84334">
        <w:t xml:space="preserve"> was assessed through time with </w:t>
      </w:r>
      <w:r w:rsidR="008946FB">
        <w:t>linear</w:t>
      </w:r>
      <w:r w:rsidR="00C84334">
        <w:t xml:space="preserve"> regression, and correlations between </w:t>
      </w:r>
      <w:proofErr w:type="spellStart"/>
      <w:r w:rsidR="00C84334">
        <w:t>Raz:ATP</w:t>
      </w:r>
      <w:proofErr w:type="spellEnd"/>
      <w:r w:rsidR="00C84334">
        <w:t xml:space="preserve"> and temperature, chloride concentration, and NPOC content as well as with the relative abundance of </w:t>
      </w:r>
      <w:proofErr w:type="spellStart"/>
      <w:r w:rsidRPr="004A5E4B">
        <w:rPr>
          <w:i/>
        </w:rPr>
        <w:t>Betaproteobacteria</w:t>
      </w:r>
      <w:proofErr w:type="spellEnd"/>
      <w:r>
        <w:t xml:space="preserve"> and </w:t>
      </w:r>
      <w:proofErr w:type="spellStart"/>
      <w:r w:rsidRPr="004A5E4B">
        <w:rPr>
          <w:i/>
        </w:rPr>
        <w:t>Thaumarchaeota</w:t>
      </w:r>
      <w:proofErr w:type="spellEnd"/>
      <w:r w:rsidR="00C84334">
        <w:t xml:space="preserve"> were determined with linear regressions. Finally, correlations </w:t>
      </w:r>
      <w:r>
        <w:t>of</w:t>
      </w:r>
      <w:r w:rsidR="00C84334">
        <w:t xml:space="preserve"> </w:t>
      </w:r>
      <w:proofErr w:type="spellStart"/>
      <w:r w:rsidRPr="004A5E4B">
        <w:rPr>
          <w:i/>
        </w:rPr>
        <w:t>Betaproteobacteria</w:t>
      </w:r>
      <w:proofErr w:type="spellEnd"/>
      <w:r>
        <w:t xml:space="preserve"> and </w:t>
      </w:r>
      <w:proofErr w:type="spellStart"/>
      <w:r w:rsidRPr="004A5E4B">
        <w:rPr>
          <w:i/>
        </w:rPr>
        <w:t>Thaumarchaeota</w:t>
      </w:r>
      <w:proofErr w:type="spellEnd"/>
      <w:r w:rsidR="00C84334">
        <w:t xml:space="preserve"> </w:t>
      </w:r>
      <w:r>
        <w:t xml:space="preserve">with day of year as well as with </w:t>
      </w:r>
      <w:proofErr w:type="spellStart"/>
      <w:r>
        <w:t>porewater</w:t>
      </w:r>
      <w:proofErr w:type="spellEnd"/>
      <w:r>
        <w:t xml:space="preserve"> characteristics were </w:t>
      </w:r>
      <w:r w:rsidR="00C84334">
        <w:t>assessed with linear</w:t>
      </w:r>
      <w:r>
        <w:t xml:space="preserve"> or quadratic</w:t>
      </w:r>
      <w:r w:rsidR="00C84334">
        <w:t xml:space="preserve"> regressions.</w:t>
      </w:r>
      <w:r>
        <w:t xml:space="preserve"> The relative abundance of </w:t>
      </w:r>
      <w:proofErr w:type="spellStart"/>
      <w:r w:rsidRPr="004A5E4B">
        <w:rPr>
          <w:i/>
        </w:rPr>
        <w:t>Betaproteobacteria</w:t>
      </w:r>
      <w:proofErr w:type="spellEnd"/>
      <w:r>
        <w:t xml:space="preserve"> and </w:t>
      </w:r>
      <w:proofErr w:type="spellStart"/>
      <w:r w:rsidRPr="004A5E4B">
        <w:rPr>
          <w:i/>
        </w:rPr>
        <w:t>Thaumarchaeota</w:t>
      </w:r>
      <w:proofErr w:type="spellEnd"/>
      <w:r>
        <w:t xml:space="preserve"> when </w:t>
      </w:r>
      <w:proofErr w:type="spellStart"/>
      <w:r>
        <w:t>Cl</w:t>
      </w:r>
      <w:proofErr w:type="spellEnd"/>
      <w:r>
        <w:rPr>
          <w:vertAlign w:val="superscript"/>
        </w:rPr>
        <w:t>-</w:t>
      </w:r>
      <w:r>
        <w:t xml:space="preserve"> </w:t>
      </w:r>
      <w:proofErr w:type="gramStart"/>
      <w:r>
        <w:t>were</w:t>
      </w:r>
      <w:proofErr w:type="gramEnd"/>
      <w:r>
        <w:t xml:space="preserve"> below versus than above the maximum concentration observed in the river samples (</w:t>
      </w:r>
      <w:r w:rsidRPr="00FB3FF1">
        <w:t>5.16e-05</w:t>
      </w:r>
      <w:r>
        <w:rPr>
          <w:b/>
        </w:rPr>
        <w:t xml:space="preserve"> </w:t>
      </w:r>
      <w:r>
        <w:t xml:space="preserve">M/L) were assessed with one-sided Mann Whitney </w:t>
      </w:r>
      <w:r w:rsidRPr="008946FB">
        <w:rPr>
          <w:i/>
        </w:rPr>
        <w:t>U</w:t>
      </w:r>
      <w:r>
        <w:t xml:space="preserve"> tests.</w:t>
      </w:r>
    </w:p>
    <w:p w14:paraId="42D3E8A9" w14:textId="77777777" w:rsidR="00C84334" w:rsidRDefault="00C84334" w:rsidP="00B7136B">
      <w:pPr>
        <w:spacing w:line="480" w:lineRule="auto"/>
        <w:rPr>
          <w:i/>
        </w:rPr>
      </w:pPr>
    </w:p>
    <w:p w14:paraId="29B06219" w14:textId="6A934C15" w:rsidR="00C84334" w:rsidRPr="00A52C26" w:rsidRDefault="00C84334" w:rsidP="00B7136B">
      <w:pPr>
        <w:spacing w:line="480" w:lineRule="auto"/>
        <w:rPr>
          <w:i/>
        </w:rPr>
      </w:pPr>
      <w:r w:rsidRPr="00A52C26">
        <w:rPr>
          <w:i/>
        </w:rPr>
        <w:t>Mult</w:t>
      </w:r>
      <w:r w:rsidR="001300C1">
        <w:rPr>
          <w:i/>
        </w:rPr>
        <w:t>ivariate Statistical Approaches</w:t>
      </w:r>
    </w:p>
    <w:p w14:paraId="56916AF8" w14:textId="1BFC6394" w:rsidR="00C84334" w:rsidRDefault="00C84334" w:rsidP="00B7136B">
      <w:pPr>
        <w:spacing w:line="480" w:lineRule="auto"/>
      </w:pPr>
      <w:r>
        <w:lastRenderedPageBreak/>
        <w:tab/>
        <w:t xml:space="preserve">Bray-Curtis distances between samples and species richness within each sample were derived using the QIIME pipeline </w:t>
      </w:r>
      <w:r>
        <w:fldChar w:fldCharType="begin"/>
      </w:r>
      <w:r w:rsidR="00B7136B">
        <w:instrText xml:space="preserve"> ADDIN EN.CITE &lt;EndNote&gt;&lt;Cite&gt;&lt;Author&gt;Caporaso&lt;/Author&gt;&lt;Year&gt;2010&lt;/Year&gt;&lt;RecNum&gt;111&lt;/RecNum&gt;&lt;DisplayText&gt;(Caporaso&lt;style face="italic"&gt; et al.&lt;/style&gt; 2010)&lt;/DisplayText&gt;&lt;record&gt;&lt;rec-number&gt;111&lt;/rec-number&gt;&lt;foreign-keys&gt;&lt;key app="EN" db-id="r5pft5av9ep25hez0eoxp2srxfxpptzds99r" timestamp="1454528286"&gt;111&lt;/key&gt;&lt;/foreign-keys&gt;&lt;ref-type name="Journal Article"&gt;17&lt;/ref-type&gt;&lt;contributors&gt;&lt;authors&gt;&lt;author&gt;Caporaso, J. Gregory&lt;/author&gt;&lt;author&gt;Kuczynski, Justin&lt;/author&gt;&lt;author&gt;Stombaugh, Jesse&lt;/author&gt;&lt;author&gt;Bittinger, Kyle&lt;/author&gt;&lt;author&gt;Bushman, Frederic D.&lt;/author&gt;&lt;author&gt;Costello, Elizabeth K.&lt;/author&gt;&lt;author&gt;Fierer, Noah&lt;/author&gt;&lt;author&gt;Pena, Antonio Gonzalez&lt;/author&gt;&lt;author&gt;Goodrich, Julia K.&lt;/author&gt;&lt;author&gt;Gordon, Jeffrey I.&lt;/author&gt;&lt;/authors&gt;&lt;/contributors&gt;&lt;titles&gt;&lt;title&gt;QIIME allows analysis of high-throughput community sequencing data&lt;/title&gt;&lt;secondary-title&gt;Nature methods&lt;/secondary-title&gt;&lt;/titles&gt;&lt;periodical&gt;&lt;full-title&gt;Nature methods&lt;/full-title&gt;&lt;/periodical&gt;&lt;pages&gt;335-336&lt;/pages&gt;&lt;volume&gt;7&lt;/volume&gt;&lt;number&gt;5&lt;/number&gt;&lt;dates&gt;&lt;year&gt;2010&lt;/year&gt;&lt;/dates&gt;&lt;isbn&gt;1548-7091&lt;/isbn&gt;&lt;urls&gt;&lt;/urls&gt;&lt;/record&gt;&lt;/Cite&gt;&lt;/EndNote&gt;</w:instrText>
      </w:r>
      <w:r>
        <w:fldChar w:fldCharType="separate"/>
      </w:r>
      <w:r w:rsidR="00B7136B">
        <w:rPr>
          <w:noProof/>
        </w:rPr>
        <w:t>(Caporaso</w:t>
      </w:r>
      <w:r w:rsidR="00B7136B" w:rsidRPr="00B7136B">
        <w:rPr>
          <w:i/>
          <w:noProof/>
        </w:rPr>
        <w:t xml:space="preserve"> et al.</w:t>
      </w:r>
      <w:r w:rsidR="00B7136B">
        <w:rPr>
          <w:noProof/>
        </w:rPr>
        <w:t xml:space="preserve"> 2010)</w:t>
      </w:r>
      <w:r>
        <w:fldChar w:fldCharType="end"/>
      </w:r>
      <w:r>
        <w:t xml:space="preserve">. </w:t>
      </w:r>
      <w:r w:rsidR="002764EC">
        <w:t xml:space="preserve">Variation in community structure between </w:t>
      </w:r>
      <w:r w:rsidR="00E72BA7">
        <w:t>attached and unattached</w:t>
      </w:r>
      <w:r w:rsidR="002764EC">
        <w:t xml:space="preserve"> communities </w:t>
      </w:r>
      <w:r w:rsidR="00927045">
        <w:t xml:space="preserve">assessed </w:t>
      </w:r>
      <w:r w:rsidR="002764EC">
        <w:t xml:space="preserve">through time by PERMANOVA in QIIME. The contribution of </w:t>
      </w:r>
      <w:proofErr w:type="spellStart"/>
      <w:r w:rsidR="002764EC">
        <w:t>nestedness</w:t>
      </w:r>
      <w:proofErr w:type="spellEnd"/>
      <w:r w:rsidR="002764EC">
        <w:t xml:space="preserve"> vs. turnover to community differences (defined by Sorensen index) </w:t>
      </w:r>
      <w:r w:rsidR="00E72BA7">
        <w:t>attached and unattached</w:t>
      </w:r>
      <w:r w:rsidR="002764EC">
        <w:t xml:space="preserve"> communities at a given location at a given point in time was conducted using the ‘</w:t>
      </w:r>
      <w:proofErr w:type="spellStart"/>
      <w:r w:rsidR="002764EC">
        <w:t>betapart</w:t>
      </w:r>
      <w:proofErr w:type="spellEnd"/>
      <w:r w:rsidR="002764EC">
        <w:t xml:space="preserve">’ package in R </w:t>
      </w:r>
      <w:r w:rsidR="002764EC">
        <w:fldChar w:fldCharType="begin"/>
      </w:r>
      <w:r w:rsidR="00B95A1C">
        <w:instrText xml:space="preserve"> ADDIN EN.CITE &lt;EndNote&gt;&lt;Cite&gt;&lt;Author&gt;Baselga&lt;/Author&gt;&lt;Year&gt;2012&lt;/Year&gt;&lt;RecNum&gt;112&lt;/RecNum&gt;&lt;DisplayText&gt;(Baselga and Orme 2012)&lt;/DisplayText&gt;&lt;record&gt;&lt;rec-number&gt;112&lt;/rec-number&gt;&lt;foreign-keys&gt;&lt;key app="EN" db-id="r5pft5av9ep25hez0eoxp2srxfxpptzds99r" timestamp="1454528370"&gt;112&lt;/key&gt;&lt;/foreign-keys&gt;&lt;ref-type name="Journal Article"&gt;17&lt;/ref-type&gt;&lt;contributors&gt;&lt;authors&gt;&lt;author&gt;Baselga, Andres&lt;/author&gt;&lt;author&gt;Orme, C. David L.&lt;/author&gt;&lt;/authors&gt;&lt;/contributors&gt;&lt;titles&gt;&lt;title&gt;betapart: an R package for the study of beta diversity&lt;/title&gt;&lt;secondary-title&gt;Methods in Ecology and Evolution&lt;/secondary-title&gt;&lt;/titles&gt;&lt;periodical&gt;&lt;full-title&gt;Methods in Ecology and Evolution&lt;/full-title&gt;&lt;/periodical&gt;&lt;pages&gt;808-812&lt;/pages&gt;&lt;volume&gt;3&lt;/volume&gt;&lt;number&gt;5&lt;/number&gt;&lt;dates&gt;&lt;year&gt;2012&lt;/year&gt;&lt;/dates&gt;&lt;isbn&gt;2041-210X&lt;/isbn&gt;&lt;urls&gt;&lt;/urls&gt;&lt;/record&gt;&lt;/Cite&gt;&lt;/EndNote&gt;</w:instrText>
      </w:r>
      <w:r w:rsidR="002764EC">
        <w:fldChar w:fldCharType="separate"/>
      </w:r>
      <w:r w:rsidR="00B95A1C">
        <w:rPr>
          <w:noProof/>
        </w:rPr>
        <w:t>(Baselga and Orme 2012)</w:t>
      </w:r>
      <w:r w:rsidR="002764EC">
        <w:fldChar w:fldCharType="end"/>
      </w:r>
      <w:r w:rsidR="002764EC">
        <w:t xml:space="preserve">. </w:t>
      </w:r>
      <w:r>
        <w:t>Variance partitioning was performed in the ‘vegan’ R package, and variables with ordered in every possible combination to investigate the effects of each variable with and without the effects of other variables removed.</w:t>
      </w:r>
      <w:r w:rsidR="0063294D">
        <w:t xml:space="preserve"> SIMPER was conducted across </w:t>
      </w:r>
      <w:r w:rsidR="00E72BA7">
        <w:t>attached and unattached</w:t>
      </w:r>
      <w:r w:rsidR="0063294D">
        <w:t xml:space="preserve"> communities </w:t>
      </w:r>
      <w:r w:rsidR="00E72BA7">
        <w:t>and</w:t>
      </w:r>
      <w:r w:rsidR="0063294D">
        <w:t xml:space="preserve"> within </w:t>
      </w:r>
      <w:r w:rsidR="00B7136B">
        <w:t>attached and unattached</w:t>
      </w:r>
      <w:r w:rsidR="0063294D">
        <w:t xml:space="preserve"> communities separately. Moreover, SIMPER was conducted across time periods of high and low species richness within </w:t>
      </w:r>
      <w:proofErr w:type="spellStart"/>
      <w:r w:rsidR="0063294D">
        <w:t>nearshore</w:t>
      </w:r>
      <w:proofErr w:type="spellEnd"/>
      <w:r w:rsidR="0063294D">
        <w:t xml:space="preserve"> attached and </w:t>
      </w:r>
      <w:r w:rsidR="00E72BA7">
        <w:t>unattached</w:t>
      </w:r>
      <w:r w:rsidR="0063294D">
        <w:t xml:space="preserve"> communities to accommodate temporal trends evident in the data. Time periods were defined by visual examination of species richness plots through time in each group, as samples collected between May 20 and September 3 in </w:t>
      </w:r>
      <w:r w:rsidR="00B7136B">
        <w:t>unattached</w:t>
      </w:r>
      <w:r w:rsidR="0063294D">
        <w:t xml:space="preserve"> samples and between June 30 and November 25 in attached samples.</w:t>
      </w:r>
      <w:r w:rsidR="00F545BD">
        <w:t xml:space="preserve"> Finally, community </w:t>
      </w:r>
      <w:r w:rsidR="00E72BA7">
        <w:t>composition</w:t>
      </w:r>
      <w:r w:rsidR="00F545BD">
        <w:t xml:space="preserve"> in </w:t>
      </w:r>
      <w:r w:rsidR="00E72BA7">
        <w:t>attached and</w:t>
      </w:r>
      <w:r w:rsidR="00F545BD">
        <w:t xml:space="preserve"> </w:t>
      </w:r>
      <w:r w:rsidR="00E72BA7">
        <w:t>unattached communities</w:t>
      </w:r>
      <w:r w:rsidR="00F545BD">
        <w:t xml:space="preserve"> was described </w:t>
      </w:r>
      <w:r w:rsidR="00F545BD" w:rsidRPr="005E6882">
        <w:t>with</w:t>
      </w:r>
      <w:r w:rsidR="00F545BD">
        <w:t xml:space="preserve"> bi-directional</w:t>
      </w:r>
      <w:r w:rsidR="00F545BD" w:rsidRPr="005E6882">
        <w:t xml:space="preserve"> </w:t>
      </w:r>
      <w:r w:rsidR="00F545BD" w:rsidRPr="005E6882">
        <w:rPr>
          <w:bCs/>
        </w:rPr>
        <w:t>non-metric multidimensional scaling</w:t>
      </w:r>
      <w:r w:rsidR="00F545BD">
        <w:rPr>
          <w:bCs/>
        </w:rPr>
        <w:t xml:space="preserve"> analysis on Bray-Curtis distance matrices using the ‘vegan’ package in </w:t>
      </w:r>
      <w:r w:rsidR="00F545BD" w:rsidRPr="00E72BA7">
        <w:rPr>
          <w:bCs/>
          <w:i/>
        </w:rPr>
        <w:t>R</w:t>
      </w:r>
      <w:r w:rsidR="00F545BD">
        <w:rPr>
          <w:bCs/>
        </w:rPr>
        <w:t xml:space="preserve">. </w:t>
      </w:r>
      <w:proofErr w:type="spellStart"/>
      <w:r w:rsidR="00F545BD">
        <w:rPr>
          <w:bCs/>
        </w:rPr>
        <w:t>Porewater</w:t>
      </w:r>
      <w:proofErr w:type="spellEnd"/>
      <w:r w:rsidR="00F545BD">
        <w:rPr>
          <w:bCs/>
        </w:rPr>
        <w:t xml:space="preserve"> characteristics were fit to NMDS plots with and without stratifying by time to determine the influence of environmental variables on community structure at short and long timescales </w:t>
      </w:r>
      <w:r w:rsidR="00F545BD">
        <w:t>(999 permutations).</w:t>
      </w:r>
    </w:p>
    <w:p w14:paraId="5B592F07" w14:textId="3D86F9CD" w:rsidR="00F412C1" w:rsidRPr="0094397A" w:rsidRDefault="00F870E8" w:rsidP="0094397A">
      <w:pPr>
        <w:spacing w:line="480" w:lineRule="auto"/>
        <w:ind w:firstLine="720"/>
      </w:pPr>
      <w:r>
        <w:t xml:space="preserve">Pairwise differences in species richness and associated </w:t>
      </w:r>
      <w:r w:rsidR="00C60316">
        <w:t>βNTI</w:t>
      </w:r>
      <w:r>
        <w:t xml:space="preserve"> values were compared between </w:t>
      </w:r>
      <w:r w:rsidR="00E72BA7">
        <w:t>and within attached and unattached communities</w:t>
      </w:r>
      <w:r>
        <w:t xml:space="preserve"> using Mantel tests in the ‘vegan’ package (999 permutations). Samples with </w:t>
      </w:r>
      <w:r w:rsidR="00C60316">
        <w:t>βNTI</w:t>
      </w:r>
      <w:r>
        <w:t xml:space="preserve"> values of &gt;-2 and &lt;2 were further analyzed by comparing their </w:t>
      </w:r>
      <w:proofErr w:type="spellStart"/>
      <w:r>
        <w:t>RC</w:t>
      </w:r>
      <w:r w:rsidRPr="00531CB2">
        <w:rPr>
          <w:vertAlign w:val="subscript"/>
        </w:rPr>
        <w:t>bray</w:t>
      </w:r>
      <w:proofErr w:type="spellEnd"/>
      <w:r>
        <w:t xml:space="preserve"> values to species richness differences using Mantel tests. Lastly, the </w:t>
      </w:r>
      <w:r>
        <w:lastRenderedPageBreak/>
        <w:t xml:space="preserve">average relative abundance of </w:t>
      </w:r>
      <w:r w:rsidR="00B31A7D">
        <w:t>taxonomic</w:t>
      </w:r>
      <w:r>
        <w:t xml:space="preserve"> groups identified by SIMPER </w:t>
      </w:r>
      <w:proofErr w:type="gramStart"/>
      <w:r>
        <w:t>were</w:t>
      </w:r>
      <w:proofErr w:type="gramEnd"/>
      <w:r>
        <w:t xml:space="preserve"> compared to associated </w:t>
      </w:r>
      <w:r w:rsidR="00C60316">
        <w:t>βNTI</w:t>
      </w:r>
      <w:r>
        <w:t xml:space="preserve"> and </w:t>
      </w:r>
      <w:proofErr w:type="spellStart"/>
      <w:r>
        <w:t>RC</w:t>
      </w:r>
      <w:r w:rsidRPr="00B92A87">
        <w:rPr>
          <w:vertAlign w:val="subscript"/>
        </w:rPr>
        <w:t>bray</w:t>
      </w:r>
      <w:proofErr w:type="spellEnd"/>
      <w:r w:rsidR="00E72BA7">
        <w:t xml:space="preserve"> values</w:t>
      </w:r>
      <w:r>
        <w:t xml:space="preserve">. </w:t>
      </w:r>
      <w:r w:rsidR="00F412C1">
        <w:rPr>
          <w:b/>
        </w:rPr>
        <w:br w:type="page"/>
      </w:r>
    </w:p>
    <w:p w14:paraId="6B568003" w14:textId="78C5E376" w:rsidR="00F412C1" w:rsidRDefault="001300C1" w:rsidP="00B7136B">
      <w:pPr>
        <w:spacing w:line="480" w:lineRule="auto"/>
        <w:rPr>
          <w:b/>
        </w:rPr>
      </w:pPr>
      <w:r>
        <w:rPr>
          <w:b/>
        </w:rPr>
        <w:lastRenderedPageBreak/>
        <w:t>Supplemental Figures</w:t>
      </w:r>
    </w:p>
    <w:p w14:paraId="477DFACA" w14:textId="77777777" w:rsidR="00F412C1" w:rsidRDefault="00F412C1" w:rsidP="00B7136B">
      <w:pPr>
        <w:spacing w:line="480" w:lineRule="auto"/>
        <w:rPr>
          <w:b/>
        </w:rPr>
      </w:pPr>
      <w:r>
        <w:rPr>
          <w:b/>
          <w:noProof/>
        </w:rPr>
        <w:drawing>
          <wp:inline distT="0" distB="0" distL="0" distR="0" wp14:anchorId="3994E2FC" wp14:editId="1DC99DCB">
            <wp:extent cx="4457700" cy="412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1.pdf"/>
                    <pic:cNvPicPr/>
                  </pic:nvPicPr>
                  <pic:blipFill>
                    <a:blip r:embed="rId8">
                      <a:extLst>
                        <a:ext uri="{28A0092B-C50C-407E-A947-70E740481C1C}">
                          <a14:useLocalDpi xmlns:a14="http://schemas.microsoft.com/office/drawing/2010/main" val="0"/>
                        </a:ext>
                      </a:extLst>
                    </a:blip>
                    <a:stretch>
                      <a:fillRect/>
                    </a:stretch>
                  </pic:blipFill>
                  <pic:spPr>
                    <a:xfrm>
                      <a:off x="0" y="0"/>
                      <a:ext cx="4458446" cy="4125650"/>
                    </a:xfrm>
                    <a:prstGeom prst="rect">
                      <a:avLst/>
                    </a:prstGeom>
                  </pic:spPr>
                </pic:pic>
              </a:graphicData>
            </a:graphic>
          </wp:inline>
        </w:drawing>
      </w:r>
    </w:p>
    <w:p w14:paraId="5ED6333E" w14:textId="7E65689B" w:rsidR="00F412C1" w:rsidRPr="00DB0EA9" w:rsidRDefault="00F412C1" w:rsidP="00F412C1">
      <w:r>
        <w:rPr>
          <w:b/>
        </w:rPr>
        <w:t>Figure S1</w:t>
      </w:r>
      <w:r>
        <w:t xml:space="preserve"> Our sampling period encompassed pronounced seasonal variation in hydrology during 2014, with Columbia River stage ranging from 104.34 m to 107.23 m. Sampling dates are denoted with vertical dashed lines.</w:t>
      </w:r>
    </w:p>
    <w:p w14:paraId="2EF2E2CE" w14:textId="77777777" w:rsidR="00217B8A" w:rsidRDefault="00217B8A">
      <w:pPr>
        <w:rPr>
          <w:b/>
        </w:rPr>
      </w:pPr>
      <w:r>
        <w:rPr>
          <w:b/>
        </w:rPr>
        <w:br w:type="page"/>
      </w:r>
    </w:p>
    <w:p w14:paraId="529B57BE" w14:textId="77777777" w:rsidR="00217B8A" w:rsidRDefault="00217B8A" w:rsidP="00B7136B">
      <w:pPr>
        <w:spacing w:line="480" w:lineRule="auto"/>
        <w:rPr>
          <w:b/>
        </w:rPr>
      </w:pPr>
      <w:r>
        <w:rPr>
          <w:b/>
          <w:noProof/>
        </w:rPr>
        <w:lastRenderedPageBreak/>
        <w:drawing>
          <wp:inline distT="0" distB="0" distL="0" distR="0" wp14:anchorId="4C5573FD" wp14:editId="11119B8A">
            <wp:extent cx="4572000" cy="45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2.pdf"/>
                    <pic:cNvPicPr/>
                  </pic:nvPicPr>
                  <pic:blipFill>
                    <a:blip r:embed="rId9">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14:paraId="53AC1B97" w14:textId="25214D4D" w:rsidR="00217B8A" w:rsidRDefault="00217B8A" w:rsidP="00217B8A">
      <w:r w:rsidRPr="00440826">
        <w:rPr>
          <w:b/>
        </w:rPr>
        <w:t xml:space="preserve">Figure </w:t>
      </w:r>
      <w:r>
        <w:rPr>
          <w:b/>
        </w:rPr>
        <w:t>S</w:t>
      </w:r>
      <w:r w:rsidR="001300C1">
        <w:rPr>
          <w:b/>
        </w:rPr>
        <w:t>2</w:t>
      </w:r>
      <w:r w:rsidRPr="00440826">
        <w:rPr>
          <w:b/>
        </w:rPr>
        <w:t xml:space="preserve"> </w:t>
      </w:r>
      <w:r>
        <w:t>Species richness in attached (X’s) and unattached (triangles) communities was positively correlated with temperature. Lines denote linear and quadratic regression results for attached and unattached communities, respectively.</w:t>
      </w:r>
    </w:p>
    <w:p w14:paraId="2D748844" w14:textId="77777777" w:rsidR="00725186" w:rsidRDefault="00725186" w:rsidP="00725186">
      <w:pPr>
        <w:rPr>
          <w:b/>
        </w:rPr>
        <w:sectPr w:rsidR="00725186" w:rsidSect="00B7136B">
          <w:headerReference w:type="even" r:id="rId10"/>
          <w:headerReference w:type="default" r:id="rId11"/>
          <w:pgSz w:w="12240" w:h="15840"/>
          <w:pgMar w:top="1440" w:right="1440" w:bottom="1440" w:left="1440" w:header="720" w:footer="720" w:gutter="0"/>
          <w:lnNumType w:countBy="1" w:restart="continuous"/>
          <w:cols w:space="720"/>
          <w:docGrid w:linePitch="360"/>
        </w:sectPr>
      </w:pPr>
    </w:p>
    <w:p w14:paraId="5883C531" w14:textId="7A070C84" w:rsidR="00AC3BC7" w:rsidRDefault="001300C1" w:rsidP="00725186">
      <w:pPr>
        <w:rPr>
          <w:b/>
        </w:rPr>
      </w:pPr>
      <w:r>
        <w:rPr>
          <w:b/>
        </w:rPr>
        <w:lastRenderedPageBreak/>
        <w:t>Supplemental Tables</w:t>
      </w:r>
    </w:p>
    <w:p w14:paraId="6BE4E26F" w14:textId="77777777" w:rsidR="00725186" w:rsidRDefault="00725186" w:rsidP="00725186">
      <w:pPr>
        <w:rPr>
          <w:b/>
        </w:rPr>
      </w:pPr>
    </w:p>
    <w:p w14:paraId="32E9CE55" w14:textId="669A2030" w:rsidR="00AC3BC7" w:rsidRDefault="00AC3BC7" w:rsidP="00AC3BC7">
      <w:r w:rsidRPr="009830C8">
        <w:rPr>
          <w:b/>
        </w:rPr>
        <w:t xml:space="preserve">Table </w:t>
      </w:r>
      <w:r>
        <w:rPr>
          <w:b/>
        </w:rPr>
        <w:t>S</w:t>
      </w:r>
      <w:r w:rsidR="001300C1">
        <w:rPr>
          <w:b/>
        </w:rPr>
        <w:t>1</w:t>
      </w:r>
      <w:r w:rsidRPr="009830C8">
        <w:rPr>
          <w:b/>
        </w:rPr>
        <w:t xml:space="preserve"> </w:t>
      </w:r>
      <w:r>
        <w:t>We measured physi</w:t>
      </w:r>
      <w:r w:rsidR="00616434">
        <w:t>c</w:t>
      </w:r>
      <w:r>
        <w:t xml:space="preserve">ochemical parameters in three geographic zones at the Hanford 300A site, </w:t>
      </w:r>
      <w:proofErr w:type="gramStart"/>
      <w:r>
        <w:t>sampling river</w:t>
      </w:r>
      <w:proofErr w:type="gramEnd"/>
      <w:r>
        <w:t xml:space="preserve">, </w:t>
      </w:r>
      <w:proofErr w:type="spellStart"/>
      <w:r>
        <w:t>nearshore</w:t>
      </w:r>
      <w:proofErr w:type="spellEnd"/>
      <w:r>
        <w:t xml:space="preserve">, and inland environments. Mean values of these parameters over the duration of our sampling period are reported for each zone in Table </w:t>
      </w:r>
      <w:r w:rsidR="007F6F55">
        <w:t>S</w:t>
      </w:r>
      <w:r>
        <w:t xml:space="preserve">1, with standard deviations listed in parentheses. </w:t>
      </w:r>
    </w:p>
    <w:p w14:paraId="3D5F5570" w14:textId="77777777" w:rsidR="001F27DF" w:rsidRDefault="001F27DF" w:rsidP="00AC3BC7"/>
    <w:p w14:paraId="0A622833" w14:textId="4AB2054B" w:rsidR="00A51B59" w:rsidRDefault="00C14C37">
      <w:pPr>
        <w:rPr>
          <w:b/>
        </w:rPr>
      </w:pPr>
      <w:r>
        <w:rPr>
          <w:b/>
        </w:rPr>
        <w:object w:dxaOrig="30420" w:dyaOrig="1820" w14:anchorId="31DD2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pt;height:44.65pt" o:ole="">
            <v:imagedata r:id="rId12" o:title=""/>
          </v:shape>
          <o:OLEObject Type="Embed" ProgID="Excel.Sheet.12" ShapeID="_x0000_i1025" DrawAspect="Content" ObjectID="_1399364693" r:id="rId13"/>
        </w:object>
      </w:r>
      <w:r w:rsidR="00A51B59">
        <w:rPr>
          <w:b/>
        </w:rPr>
        <w:br w:type="page"/>
      </w:r>
    </w:p>
    <w:p w14:paraId="054A2416" w14:textId="3E12DDDD" w:rsidR="00AC3BC7" w:rsidRDefault="00AC3BC7" w:rsidP="00AC3BC7">
      <w:r w:rsidRPr="009830C8">
        <w:rPr>
          <w:b/>
        </w:rPr>
        <w:lastRenderedPageBreak/>
        <w:t xml:space="preserve">Table </w:t>
      </w:r>
      <w:r>
        <w:rPr>
          <w:b/>
        </w:rPr>
        <w:t>S</w:t>
      </w:r>
      <w:r w:rsidR="001300C1">
        <w:rPr>
          <w:b/>
        </w:rPr>
        <w:t>2</w:t>
      </w:r>
      <w:r w:rsidRPr="009830C8">
        <w:rPr>
          <w:b/>
        </w:rPr>
        <w:t xml:space="preserve"> </w:t>
      </w:r>
      <w:r>
        <w:t>Physi</w:t>
      </w:r>
      <w:r w:rsidR="00616434">
        <w:t>c</w:t>
      </w:r>
      <w:r>
        <w:t>ochemical characteristics were fit to</w:t>
      </w:r>
      <w:r w:rsidRPr="009830C8">
        <w:t xml:space="preserve"> </w:t>
      </w:r>
      <w:r>
        <w:t>n</w:t>
      </w:r>
      <w:r w:rsidRPr="001E4E76">
        <w:t xml:space="preserve">on-metric multidimensional scaling (NMDS) analysis </w:t>
      </w:r>
      <w:r>
        <w:t>of</w:t>
      </w:r>
      <w:r w:rsidRPr="001E4E76">
        <w:t xml:space="preserve"> Bray-Curtis distances</w:t>
      </w:r>
      <w:r>
        <w:t xml:space="preserve"> in attached and unattached communities. Analyses were conducted both with and without stratifying permutations within the date of sample collection. </w:t>
      </w:r>
      <w:r w:rsidRPr="00D5661F">
        <w:rPr>
          <w:i/>
        </w:rPr>
        <w:t>R</w:t>
      </w:r>
      <w:r w:rsidRPr="00D5661F">
        <w:rPr>
          <w:i/>
          <w:vertAlign w:val="superscript"/>
        </w:rPr>
        <w:t>2</w:t>
      </w:r>
      <w:r>
        <w:t xml:space="preserve"> values for significant parameters (P &lt; 0.05) </w:t>
      </w:r>
      <w:r w:rsidR="001F27DF">
        <w:t xml:space="preserve">in each analysis are listed in </w:t>
      </w:r>
      <w:r>
        <w:t xml:space="preserve">Table </w:t>
      </w:r>
      <w:r w:rsidR="001F27DF">
        <w:t>S</w:t>
      </w:r>
      <w:r>
        <w:t>2. Data are also present in Figure 3 in the main text.</w:t>
      </w:r>
    </w:p>
    <w:p w14:paraId="0857016A" w14:textId="77777777" w:rsidR="00AC3BC7" w:rsidRDefault="00AC3BC7" w:rsidP="00AC3BC7"/>
    <w:p w14:paraId="34B595A8" w14:textId="77777777" w:rsidR="00FC205A" w:rsidRDefault="00C14C37" w:rsidP="00AC3BC7">
      <w:pPr>
        <w:rPr>
          <w:b/>
        </w:rPr>
        <w:sectPr w:rsidR="00FC205A" w:rsidSect="00FC205A">
          <w:pgSz w:w="15840" w:h="12240" w:orient="landscape"/>
          <w:pgMar w:top="720" w:right="1440" w:bottom="1440" w:left="792" w:header="720" w:footer="720" w:gutter="0"/>
          <w:lnNumType w:countBy="1" w:restart="continuous"/>
          <w:cols w:space="720"/>
          <w:docGrid w:linePitch="360"/>
        </w:sectPr>
      </w:pPr>
      <w:r>
        <w:rPr>
          <w:b/>
        </w:rPr>
        <w:object w:dxaOrig="16860" w:dyaOrig="2120" w14:anchorId="75DDB69B">
          <v:shape id="_x0000_i1026" type="#_x0000_t75" style="width:10in;height:90.65pt" o:ole="">
            <v:imagedata r:id="rId14" o:title=""/>
          </v:shape>
          <o:OLEObject Type="Embed" ProgID="Excel.Sheet.12" ShapeID="_x0000_i1026" DrawAspect="Content" ObjectID="_1399364694" r:id="rId15"/>
        </w:object>
      </w:r>
    </w:p>
    <w:p w14:paraId="334D546B" w14:textId="6DD22901" w:rsidR="00344C23" w:rsidRPr="00344C23" w:rsidRDefault="00AC3BC7">
      <w:r w:rsidRPr="00D5661F">
        <w:rPr>
          <w:b/>
        </w:rPr>
        <w:lastRenderedPageBreak/>
        <w:t xml:space="preserve">Table </w:t>
      </w:r>
      <w:r>
        <w:rPr>
          <w:b/>
        </w:rPr>
        <w:t>S</w:t>
      </w:r>
      <w:r w:rsidRPr="00D5661F">
        <w:rPr>
          <w:b/>
        </w:rPr>
        <w:t>3</w:t>
      </w:r>
      <w:r>
        <w:t xml:space="preserve"> SIMPER analysis was conducted to identify species driving dissimilarity in attached and unattached communities in periods of high vs. low richness. Species identifiers and associated taxonomy are present in Table </w:t>
      </w:r>
      <w:r w:rsidR="00C14C37">
        <w:t>S</w:t>
      </w:r>
      <w:r>
        <w:t>3 for all significant species (P &lt; 0</w:t>
      </w:r>
      <w:r w:rsidR="00344C23">
        <w:t>.05). For Table, please refer to supplemental Excel file.</w:t>
      </w:r>
    </w:p>
    <w:p w14:paraId="0DBA047A" w14:textId="38AC642A" w:rsidR="00A51B59" w:rsidRDefault="00A51B59">
      <w:pPr>
        <w:rPr>
          <w:b/>
        </w:rPr>
      </w:pPr>
      <w:r>
        <w:rPr>
          <w:b/>
        </w:rPr>
        <w:br w:type="page"/>
      </w:r>
    </w:p>
    <w:p w14:paraId="0C85A06D" w14:textId="58C94993" w:rsidR="00A51B59" w:rsidRPr="0089660A" w:rsidRDefault="00AC3BC7">
      <w:r w:rsidRPr="00106639">
        <w:rPr>
          <w:b/>
        </w:rPr>
        <w:lastRenderedPageBreak/>
        <w:t xml:space="preserve">Table </w:t>
      </w:r>
      <w:r>
        <w:rPr>
          <w:b/>
        </w:rPr>
        <w:t>S</w:t>
      </w:r>
      <w:r w:rsidRPr="00106639">
        <w:rPr>
          <w:b/>
        </w:rPr>
        <w:t>4</w:t>
      </w:r>
      <w:r>
        <w:t xml:space="preserve"> The mean abundance (across two samples) of taxa identified by SIMPER analysis </w:t>
      </w:r>
      <w:proofErr w:type="gramStart"/>
      <w:r>
        <w:t>were</w:t>
      </w:r>
      <w:proofErr w:type="gramEnd"/>
      <w:r>
        <w:t xml:space="preserve"> compared to associated βNTI and RC</w:t>
      </w:r>
      <w:r w:rsidRPr="003A5A72">
        <w:rPr>
          <w:vertAlign w:val="subscript"/>
        </w:rPr>
        <w:t>bray</w:t>
      </w:r>
      <w:r>
        <w:t xml:space="preserve"> values (when -2 &lt; βNTI &lt; 2). Pearson’s </w:t>
      </w:r>
      <w:r w:rsidRPr="003A5A72">
        <w:rPr>
          <w:i/>
        </w:rPr>
        <w:t>r</w:t>
      </w:r>
      <w:r>
        <w:t xml:space="preserve"> values greater than +/- 0.30 are listed in Table </w:t>
      </w:r>
      <w:r w:rsidR="0057220A">
        <w:t>S</w:t>
      </w:r>
      <w:r>
        <w:t xml:space="preserve">4. A single asterisk denotes P &lt; 0.05, double asterisks denote P &lt; 0.01, and triple asterisks denote P &lt; 0.001. </w:t>
      </w:r>
      <w:r w:rsidR="00D70F04">
        <w:rPr>
          <w:b/>
        </w:rPr>
        <w:object w:dxaOrig="11120" w:dyaOrig="12700" w14:anchorId="2FA01559">
          <v:shape id="_x0000_i1027" type="#_x0000_t75" style="width:6in;height:493.35pt" o:ole="">
            <v:imagedata r:id="rId16" o:title=""/>
          </v:shape>
          <o:OLEObject Type="Embed" ProgID="Excel.Sheet.12" ShapeID="_x0000_i1027" DrawAspect="Content" ObjectID="_1399364695" r:id="rId17"/>
        </w:object>
      </w:r>
      <w:r w:rsidR="00A51B59">
        <w:rPr>
          <w:b/>
        </w:rPr>
        <w:br w:type="page"/>
      </w:r>
    </w:p>
    <w:p w14:paraId="13901EA6" w14:textId="2CA051A1" w:rsidR="00AC3BC7" w:rsidRDefault="00AC3BC7" w:rsidP="00AC3BC7">
      <w:r w:rsidRPr="00106639">
        <w:rPr>
          <w:b/>
        </w:rPr>
        <w:lastRenderedPageBreak/>
        <w:t xml:space="preserve">Table </w:t>
      </w:r>
      <w:r>
        <w:rPr>
          <w:b/>
        </w:rPr>
        <w:t>S5</w:t>
      </w:r>
      <w:r>
        <w:t xml:space="preserve"> Factors correlating with the relative abundance of </w:t>
      </w:r>
      <w:r w:rsidRPr="00903F62">
        <w:rPr>
          <w:i/>
        </w:rPr>
        <w:t>Thaumarchaeota</w:t>
      </w:r>
      <w:r>
        <w:t xml:space="preserve"> and </w:t>
      </w:r>
      <w:r w:rsidRPr="00903F62">
        <w:rPr>
          <w:i/>
        </w:rPr>
        <w:t>Betaproteobacteria</w:t>
      </w:r>
      <w:r>
        <w:t xml:space="preserve"> was assessed using univariate linear regressions against physi</w:t>
      </w:r>
      <w:r w:rsidR="00233EE6">
        <w:t>c</w:t>
      </w:r>
      <w:r>
        <w:t>ochemical parameters. R</w:t>
      </w:r>
      <w:r>
        <w:rPr>
          <w:vertAlign w:val="superscript"/>
        </w:rPr>
        <w:t>2</w:t>
      </w:r>
      <w:r>
        <w:t xml:space="preserve"> values are presented in Table </w:t>
      </w:r>
      <w:r w:rsidR="0057220A">
        <w:t>S</w:t>
      </w:r>
      <w:r>
        <w:t xml:space="preserve">5. Positive correlations are in bold italics, while negative correlations are in plain font. A single asterisk denotes P &lt; 0.05, double asterisks denote P &lt; 0.01, triple asterisks denote P &lt; 0.001, and quadruple asterisks denote P &lt; 0.0001. </w:t>
      </w:r>
    </w:p>
    <w:p w14:paraId="1AF489BE" w14:textId="77777777" w:rsidR="00AC3BC7" w:rsidRDefault="00AC3BC7" w:rsidP="00AC3BC7"/>
    <w:p w14:paraId="1C39781E" w14:textId="77777777" w:rsidR="00A51B59" w:rsidRDefault="0057220A">
      <w:pPr>
        <w:rPr>
          <w:b/>
        </w:rPr>
      </w:pPr>
      <w:r>
        <w:rPr>
          <w:b/>
        </w:rPr>
        <w:object w:dxaOrig="6400" w:dyaOrig="3020" w14:anchorId="1ED923F4">
          <v:shape id="_x0000_i1028" type="#_x0000_t75" style="width:320pt;height:151.35pt" o:ole="">
            <v:imagedata r:id="rId18" o:title=""/>
          </v:shape>
          <o:OLEObject Type="Embed" ProgID="Excel.Sheet.12" ShapeID="_x0000_i1028" DrawAspect="Content" ObjectID="_1399364696" r:id="rId19"/>
        </w:object>
      </w:r>
      <w:r w:rsidR="00A51B59">
        <w:rPr>
          <w:b/>
        </w:rPr>
        <w:br w:type="page"/>
      </w:r>
    </w:p>
    <w:p w14:paraId="325503C8" w14:textId="2562D6E4" w:rsidR="00AC3BC7" w:rsidRDefault="00AC3BC7" w:rsidP="00AC3BC7">
      <w:r w:rsidRPr="00106639">
        <w:rPr>
          <w:b/>
        </w:rPr>
        <w:lastRenderedPageBreak/>
        <w:t xml:space="preserve">Table </w:t>
      </w:r>
      <w:r>
        <w:rPr>
          <w:b/>
        </w:rPr>
        <w:t>S6</w:t>
      </w:r>
      <w:r>
        <w:t xml:space="preserve"> Correlations of NPOC, Cl</w:t>
      </w:r>
      <w:r w:rsidRPr="00B3704A">
        <w:rPr>
          <w:vertAlign w:val="superscript"/>
        </w:rPr>
        <w:t>-</w:t>
      </w:r>
      <w:r>
        <w:t>, and temperature with community composition (Bray-Curtis distance matrices) were assessed using ADONIS. R</w:t>
      </w:r>
      <w:r>
        <w:rPr>
          <w:vertAlign w:val="superscript"/>
        </w:rPr>
        <w:t>2</w:t>
      </w:r>
      <w:r>
        <w:t xml:space="preserve"> values are presented in Table </w:t>
      </w:r>
      <w:r w:rsidR="0057220A">
        <w:t>S</w:t>
      </w:r>
      <w:r>
        <w:t xml:space="preserve">6. A single asterisk denotes P &lt; 0.05 and double asterisks denote P &lt; 0.01. </w:t>
      </w:r>
    </w:p>
    <w:p w14:paraId="027EED9F" w14:textId="77777777" w:rsidR="00AC3BC7" w:rsidRDefault="00AC3BC7" w:rsidP="00AC3BC7"/>
    <w:p w14:paraId="67185A57" w14:textId="5230D66C" w:rsidR="00111894" w:rsidRPr="00F412C1" w:rsidRDefault="0057220A" w:rsidP="00B7136B">
      <w:pPr>
        <w:spacing w:line="480" w:lineRule="auto"/>
        <w:rPr>
          <w:b/>
        </w:rPr>
      </w:pPr>
      <w:r>
        <w:rPr>
          <w:b/>
        </w:rPr>
        <w:object w:dxaOrig="6420" w:dyaOrig="920" w14:anchorId="27BE28D8">
          <v:shape id="_x0000_i1029" type="#_x0000_t75" style="width:321.35pt;height:46pt" o:ole="">
            <v:imagedata r:id="rId20" o:title=""/>
          </v:shape>
          <o:OLEObject Type="Embed" ProgID="Excel.Sheet.12" ShapeID="_x0000_i1029" DrawAspect="Content" ObjectID="_1399364697" r:id="rId21"/>
        </w:object>
      </w:r>
      <w:r w:rsidR="00111894" w:rsidRPr="00F412C1">
        <w:rPr>
          <w:b/>
        </w:rPr>
        <w:br w:type="page"/>
      </w:r>
    </w:p>
    <w:p w14:paraId="4B206750" w14:textId="026A89B5" w:rsidR="00111894" w:rsidRPr="00F412C1" w:rsidRDefault="00F412C1" w:rsidP="00B7136B">
      <w:pPr>
        <w:spacing w:line="480" w:lineRule="auto"/>
        <w:rPr>
          <w:b/>
        </w:rPr>
      </w:pPr>
      <w:r>
        <w:rPr>
          <w:b/>
        </w:rPr>
        <w:lastRenderedPageBreak/>
        <w:t>References</w:t>
      </w:r>
    </w:p>
    <w:bookmarkStart w:id="0" w:name="_GoBack"/>
    <w:p w14:paraId="4658ECA8" w14:textId="77777777" w:rsidR="00B95A1C" w:rsidRPr="00B95A1C" w:rsidRDefault="00AD203D" w:rsidP="00B95A1C">
      <w:pPr>
        <w:pStyle w:val="EndNoteBibliography"/>
        <w:ind w:left="720" w:hanging="720"/>
        <w:rPr>
          <w:noProof/>
        </w:rPr>
      </w:pPr>
      <w:r>
        <w:fldChar w:fldCharType="begin"/>
      </w:r>
      <w:r>
        <w:instrText xml:space="preserve"> ADDIN EN.REFLIST </w:instrText>
      </w:r>
      <w:r>
        <w:fldChar w:fldCharType="separate"/>
      </w:r>
      <w:r w:rsidR="00B95A1C" w:rsidRPr="00B95A1C">
        <w:rPr>
          <w:noProof/>
        </w:rPr>
        <w:t xml:space="preserve">Baselga A, Orme CDL (2012). betapart: an R package for the study of beta diversity. </w:t>
      </w:r>
      <w:r w:rsidR="00B95A1C" w:rsidRPr="00B95A1C">
        <w:rPr>
          <w:i/>
          <w:noProof/>
        </w:rPr>
        <w:t>Methods in Ecology and Evolution</w:t>
      </w:r>
      <w:r w:rsidR="00B95A1C" w:rsidRPr="00B95A1C">
        <w:rPr>
          <w:noProof/>
        </w:rPr>
        <w:t xml:space="preserve"> </w:t>
      </w:r>
      <w:r w:rsidR="00B95A1C" w:rsidRPr="00B95A1C">
        <w:rPr>
          <w:b/>
          <w:noProof/>
        </w:rPr>
        <w:t>3:</w:t>
      </w:r>
      <w:r w:rsidR="00B95A1C" w:rsidRPr="00B95A1C">
        <w:rPr>
          <w:noProof/>
        </w:rPr>
        <w:t xml:space="preserve"> 808-812.</w:t>
      </w:r>
    </w:p>
    <w:p w14:paraId="121DE021" w14:textId="77777777" w:rsidR="00B95A1C" w:rsidRPr="00B95A1C" w:rsidRDefault="00B95A1C" w:rsidP="00B95A1C">
      <w:pPr>
        <w:pStyle w:val="EndNoteBibliography"/>
        <w:ind w:left="720" w:hanging="720"/>
        <w:rPr>
          <w:noProof/>
        </w:rPr>
      </w:pPr>
    </w:p>
    <w:p w14:paraId="3C48B5D2" w14:textId="77777777" w:rsidR="00B95A1C" w:rsidRPr="00B95A1C" w:rsidRDefault="00B95A1C" w:rsidP="00B95A1C">
      <w:pPr>
        <w:pStyle w:val="EndNoteBibliography"/>
        <w:ind w:left="720" w:hanging="720"/>
        <w:rPr>
          <w:noProof/>
        </w:rPr>
      </w:pPr>
      <w:r w:rsidRPr="00B95A1C">
        <w:rPr>
          <w:noProof/>
        </w:rPr>
        <w:t>Caporaso JG, Kuczynski J, Stombaugh J, Bittinger K, Bushman FD, Costello EK</w:t>
      </w:r>
      <w:r w:rsidRPr="00B95A1C">
        <w:rPr>
          <w:i/>
          <w:noProof/>
        </w:rPr>
        <w:t xml:space="preserve"> et al</w:t>
      </w:r>
      <w:r w:rsidRPr="00B95A1C">
        <w:rPr>
          <w:noProof/>
        </w:rPr>
        <w:t xml:space="preserve"> (2010). QIIME allows analysis of high-throughput community sequencing data. </w:t>
      </w:r>
      <w:r w:rsidRPr="00B95A1C">
        <w:rPr>
          <w:i/>
          <w:noProof/>
        </w:rPr>
        <w:t>Nature methods</w:t>
      </w:r>
      <w:r w:rsidRPr="00B95A1C">
        <w:rPr>
          <w:noProof/>
        </w:rPr>
        <w:t xml:space="preserve"> </w:t>
      </w:r>
      <w:r w:rsidRPr="00B95A1C">
        <w:rPr>
          <w:b/>
          <w:noProof/>
        </w:rPr>
        <w:t>7:</w:t>
      </w:r>
      <w:r w:rsidRPr="00B95A1C">
        <w:rPr>
          <w:noProof/>
        </w:rPr>
        <w:t xml:space="preserve"> 335-336.</w:t>
      </w:r>
    </w:p>
    <w:p w14:paraId="1B34347E" w14:textId="77777777" w:rsidR="00B95A1C" w:rsidRPr="00B95A1C" w:rsidRDefault="00B95A1C" w:rsidP="00B95A1C">
      <w:pPr>
        <w:pStyle w:val="EndNoteBibliography"/>
        <w:ind w:left="720" w:hanging="720"/>
        <w:rPr>
          <w:noProof/>
        </w:rPr>
      </w:pPr>
    </w:p>
    <w:p w14:paraId="53AA4398" w14:textId="77777777" w:rsidR="00B95A1C" w:rsidRPr="00B95A1C" w:rsidRDefault="00B95A1C" w:rsidP="00B95A1C">
      <w:pPr>
        <w:pStyle w:val="EndNoteBibliography"/>
        <w:ind w:left="720" w:hanging="720"/>
        <w:rPr>
          <w:noProof/>
        </w:rPr>
      </w:pPr>
      <w:r w:rsidRPr="00B95A1C">
        <w:rPr>
          <w:noProof/>
        </w:rPr>
        <w:t>Caporaso JG, Lauber CL, Walters WA, Berg-Lyons D, Huntley J, Fierer N</w:t>
      </w:r>
      <w:r w:rsidRPr="00B95A1C">
        <w:rPr>
          <w:i/>
          <w:noProof/>
        </w:rPr>
        <w:t xml:space="preserve"> et al</w:t>
      </w:r>
      <w:r w:rsidRPr="00B95A1C">
        <w:rPr>
          <w:noProof/>
        </w:rPr>
        <w:t xml:space="preserve"> (2012). Ultra-high-throughput microbial community analysis on the Illumina HiSeq and MiSeq platforms. </w:t>
      </w:r>
      <w:r w:rsidRPr="00B95A1C">
        <w:rPr>
          <w:i/>
          <w:noProof/>
        </w:rPr>
        <w:t>The ISME journal</w:t>
      </w:r>
      <w:r w:rsidRPr="00B95A1C">
        <w:rPr>
          <w:noProof/>
        </w:rPr>
        <w:t xml:space="preserve"> </w:t>
      </w:r>
      <w:r w:rsidRPr="00B95A1C">
        <w:rPr>
          <w:b/>
          <w:noProof/>
        </w:rPr>
        <w:t>6:</w:t>
      </w:r>
      <w:r w:rsidRPr="00B95A1C">
        <w:rPr>
          <w:noProof/>
        </w:rPr>
        <w:t xml:space="preserve"> 1621-1624.</w:t>
      </w:r>
    </w:p>
    <w:p w14:paraId="24AFAABB" w14:textId="77777777" w:rsidR="00B95A1C" w:rsidRPr="00B95A1C" w:rsidRDefault="00B95A1C" w:rsidP="00B95A1C">
      <w:pPr>
        <w:pStyle w:val="EndNoteBibliography"/>
        <w:ind w:left="720" w:hanging="720"/>
        <w:rPr>
          <w:noProof/>
        </w:rPr>
      </w:pPr>
    </w:p>
    <w:p w14:paraId="4D118FA9" w14:textId="77777777" w:rsidR="00B95A1C" w:rsidRPr="00B95A1C" w:rsidRDefault="00B95A1C" w:rsidP="00B95A1C">
      <w:pPr>
        <w:pStyle w:val="EndNoteBibliography"/>
        <w:ind w:left="720" w:hanging="720"/>
        <w:rPr>
          <w:noProof/>
        </w:rPr>
      </w:pPr>
      <w:r w:rsidRPr="00B95A1C">
        <w:rPr>
          <w:noProof/>
        </w:rPr>
        <w:t xml:space="preserve">Dini-Andreote F, Stegen JC, van Elsas JD, Salles JF (2015). Disentangling mechanisms that mediate the balance between stochastic and deterministic processes in microbial succession. </w:t>
      </w:r>
      <w:r w:rsidRPr="00B95A1C">
        <w:rPr>
          <w:i/>
          <w:noProof/>
        </w:rPr>
        <w:t>Proceedings of the National Academy of Sciences</w:t>
      </w:r>
      <w:r w:rsidRPr="00B95A1C">
        <w:rPr>
          <w:noProof/>
        </w:rPr>
        <w:t xml:space="preserve"> </w:t>
      </w:r>
      <w:r w:rsidRPr="00B95A1C">
        <w:rPr>
          <w:b/>
          <w:noProof/>
        </w:rPr>
        <w:t>112:</w:t>
      </w:r>
      <w:r w:rsidRPr="00B95A1C">
        <w:rPr>
          <w:noProof/>
        </w:rPr>
        <w:t xml:space="preserve"> E1326-E1332.</w:t>
      </w:r>
    </w:p>
    <w:p w14:paraId="4D184E4E" w14:textId="77777777" w:rsidR="00B95A1C" w:rsidRPr="00B95A1C" w:rsidRDefault="00B95A1C" w:rsidP="00B95A1C">
      <w:pPr>
        <w:pStyle w:val="EndNoteBibliography"/>
        <w:ind w:left="720" w:hanging="720"/>
        <w:rPr>
          <w:noProof/>
        </w:rPr>
      </w:pPr>
    </w:p>
    <w:p w14:paraId="43448E99" w14:textId="77777777" w:rsidR="00B95A1C" w:rsidRPr="00B95A1C" w:rsidRDefault="00B95A1C" w:rsidP="00B95A1C">
      <w:pPr>
        <w:pStyle w:val="EndNoteBibliography"/>
        <w:ind w:left="720" w:hanging="720"/>
        <w:rPr>
          <w:noProof/>
        </w:rPr>
      </w:pPr>
      <w:r w:rsidRPr="00B95A1C">
        <w:rPr>
          <w:noProof/>
        </w:rPr>
        <w:t xml:space="preserve">Fine PVA, Kembel SW (2011). Phylogenetic community structure and phylogenetic turnover across space and edaphic gradients in western Amazonian tree communities. </w:t>
      </w:r>
      <w:r w:rsidRPr="00B95A1C">
        <w:rPr>
          <w:i/>
          <w:noProof/>
        </w:rPr>
        <w:t>Ecography</w:t>
      </w:r>
      <w:r w:rsidRPr="00B95A1C">
        <w:rPr>
          <w:noProof/>
        </w:rPr>
        <w:t xml:space="preserve"> </w:t>
      </w:r>
      <w:r w:rsidRPr="00B95A1C">
        <w:rPr>
          <w:b/>
          <w:noProof/>
        </w:rPr>
        <w:t>34:</w:t>
      </w:r>
      <w:r w:rsidRPr="00B95A1C">
        <w:rPr>
          <w:noProof/>
        </w:rPr>
        <w:t xml:space="preserve"> 552-565.</w:t>
      </w:r>
    </w:p>
    <w:p w14:paraId="253336B6" w14:textId="77777777" w:rsidR="00B95A1C" w:rsidRPr="00B95A1C" w:rsidRDefault="00B95A1C" w:rsidP="00B95A1C">
      <w:pPr>
        <w:pStyle w:val="EndNoteBibliography"/>
        <w:ind w:left="720" w:hanging="720"/>
        <w:rPr>
          <w:noProof/>
        </w:rPr>
      </w:pPr>
    </w:p>
    <w:p w14:paraId="03D2BE58" w14:textId="77777777" w:rsidR="00B95A1C" w:rsidRPr="00B95A1C" w:rsidRDefault="00B95A1C" w:rsidP="00B95A1C">
      <w:pPr>
        <w:pStyle w:val="EndNoteBibliography"/>
        <w:ind w:left="720" w:hanging="720"/>
        <w:rPr>
          <w:rFonts w:hint="eastAsia"/>
          <w:noProof/>
        </w:rPr>
      </w:pPr>
      <w:r w:rsidRPr="00B95A1C">
        <w:rPr>
          <w:noProof/>
        </w:rPr>
        <w:t>Hedges JI, Stern JH (1984). Carbon and nitrogen determinatio</w:t>
      </w:r>
      <w:r w:rsidRPr="00B95A1C">
        <w:rPr>
          <w:rFonts w:hint="eastAsia"/>
          <w:noProof/>
        </w:rPr>
        <w:t>ns of carbonate</w:t>
      </w:r>
      <w:r w:rsidRPr="00B95A1C">
        <w:rPr>
          <w:rFonts w:hint="eastAsia"/>
          <w:noProof/>
        </w:rPr>
        <w:t>‐</w:t>
      </w:r>
      <w:r w:rsidRPr="00B95A1C">
        <w:rPr>
          <w:rFonts w:hint="eastAsia"/>
          <w:noProof/>
        </w:rPr>
        <w:t xml:space="preserve">containing solids. </w:t>
      </w:r>
      <w:r w:rsidRPr="00B95A1C">
        <w:rPr>
          <w:rFonts w:hint="eastAsia"/>
          <w:i/>
          <w:noProof/>
        </w:rPr>
        <w:t>Limnology and Oceanography</w:t>
      </w:r>
      <w:r w:rsidRPr="00B95A1C">
        <w:rPr>
          <w:rFonts w:hint="eastAsia"/>
          <w:noProof/>
        </w:rPr>
        <w:t xml:space="preserve"> </w:t>
      </w:r>
      <w:r w:rsidRPr="00B95A1C">
        <w:rPr>
          <w:rFonts w:hint="eastAsia"/>
          <w:b/>
          <w:noProof/>
        </w:rPr>
        <w:t>29:</w:t>
      </w:r>
      <w:r w:rsidRPr="00B95A1C">
        <w:rPr>
          <w:rFonts w:hint="eastAsia"/>
          <w:noProof/>
        </w:rPr>
        <w:t xml:space="preserve"> 657-663.</w:t>
      </w:r>
    </w:p>
    <w:p w14:paraId="22E09881" w14:textId="77777777" w:rsidR="00B95A1C" w:rsidRPr="00B95A1C" w:rsidRDefault="00B95A1C" w:rsidP="00B95A1C">
      <w:pPr>
        <w:pStyle w:val="EndNoteBibliography"/>
        <w:ind w:left="720" w:hanging="720"/>
        <w:rPr>
          <w:noProof/>
        </w:rPr>
      </w:pPr>
    </w:p>
    <w:p w14:paraId="778AFF57" w14:textId="77777777" w:rsidR="00B95A1C" w:rsidRPr="00B95A1C" w:rsidRDefault="00B95A1C" w:rsidP="00B95A1C">
      <w:pPr>
        <w:pStyle w:val="EndNoteBibliography"/>
        <w:ind w:left="720" w:hanging="720"/>
        <w:rPr>
          <w:noProof/>
        </w:rPr>
      </w:pPr>
      <w:r w:rsidRPr="00B95A1C">
        <w:rPr>
          <w:noProof/>
        </w:rPr>
        <w:t xml:space="preserve">Losos JB (2008). Phylogenetic niche conservatism, phylogenetic signal and the relationship between phylogenetic relatedness and ecological similarity among species. </w:t>
      </w:r>
      <w:r w:rsidRPr="00B95A1C">
        <w:rPr>
          <w:i/>
          <w:noProof/>
        </w:rPr>
        <w:t>Ecology letters</w:t>
      </w:r>
      <w:r w:rsidRPr="00B95A1C">
        <w:rPr>
          <w:noProof/>
        </w:rPr>
        <w:t xml:space="preserve"> </w:t>
      </w:r>
      <w:r w:rsidRPr="00B95A1C">
        <w:rPr>
          <w:b/>
          <w:noProof/>
        </w:rPr>
        <w:t>11:</w:t>
      </w:r>
      <w:r w:rsidRPr="00B95A1C">
        <w:rPr>
          <w:noProof/>
        </w:rPr>
        <w:t xml:space="preserve"> 995-1003.</w:t>
      </w:r>
    </w:p>
    <w:p w14:paraId="0D8465B4" w14:textId="77777777" w:rsidR="00B95A1C" w:rsidRPr="00B95A1C" w:rsidRDefault="00B95A1C" w:rsidP="00B95A1C">
      <w:pPr>
        <w:pStyle w:val="EndNoteBibliography"/>
        <w:ind w:left="720" w:hanging="720"/>
        <w:rPr>
          <w:noProof/>
        </w:rPr>
      </w:pPr>
    </w:p>
    <w:p w14:paraId="144A6C50" w14:textId="77777777" w:rsidR="00B95A1C" w:rsidRPr="00B95A1C" w:rsidRDefault="00B95A1C" w:rsidP="00B95A1C">
      <w:pPr>
        <w:pStyle w:val="EndNoteBibliography"/>
        <w:ind w:left="720" w:hanging="720"/>
        <w:rPr>
          <w:noProof/>
        </w:rPr>
      </w:pPr>
      <w:r w:rsidRPr="00B95A1C">
        <w:rPr>
          <w:noProof/>
        </w:rPr>
        <w:t>Pruesse E, Quast C, Knittel K, Fuchs BM, Ludwig W, Peplies J</w:t>
      </w:r>
      <w:r w:rsidRPr="00B95A1C">
        <w:rPr>
          <w:i/>
          <w:noProof/>
        </w:rPr>
        <w:t xml:space="preserve"> et al</w:t>
      </w:r>
      <w:r w:rsidRPr="00B95A1C">
        <w:rPr>
          <w:noProof/>
        </w:rPr>
        <w:t xml:space="preserve"> (2007). SILVA: a comprehensive online resource for quality checked and aligned ribosomal RNA sequence data compatible with ARB. </w:t>
      </w:r>
      <w:r w:rsidRPr="00B95A1C">
        <w:rPr>
          <w:i/>
          <w:noProof/>
        </w:rPr>
        <w:t>Nucleic acids research</w:t>
      </w:r>
      <w:r w:rsidRPr="00B95A1C">
        <w:rPr>
          <w:noProof/>
        </w:rPr>
        <w:t xml:space="preserve"> </w:t>
      </w:r>
      <w:r w:rsidRPr="00B95A1C">
        <w:rPr>
          <w:b/>
          <w:noProof/>
        </w:rPr>
        <w:t>35:</w:t>
      </w:r>
      <w:r w:rsidRPr="00B95A1C">
        <w:rPr>
          <w:noProof/>
        </w:rPr>
        <w:t xml:space="preserve"> 7188-7196.</w:t>
      </w:r>
    </w:p>
    <w:p w14:paraId="12868EBF" w14:textId="77777777" w:rsidR="00B95A1C" w:rsidRPr="00B95A1C" w:rsidRDefault="00B95A1C" w:rsidP="00B95A1C">
      <w:pPr>
        <w:pStyle w:val="EndNoteBibliography"/>
        <w:ind w:left="720" w:hanging="720"/>
        <w:rPr>
          <w:noProof/>
        </w:rPr>
      </w:pPr>
    </w:p>
    <w:p w14:paraId="6A6EE9A1" w14:textId="77777777" w:rsidR="00B95A1C" w:rsidRPr="00B95A1C" w:rsidRDefault="00B95A1C" w:rsidP="00B95A1C">
      <w:pPr>
        <w:pStyle w:val="EndNoteBibliography"/>
        <w:ind w:left="720" w:hanging="720"/>
        <w:rPr>
          <w:noProof/>
        </w:rPr>
      </w:pPr>
      <w:r w:rsidRPr="00B95A1C">
        <w:rPr>
          <w:noProof/>
        </w:rPr>
        <w:t xml:space="preserve">Stegen JC, Lin X, Konopka AE, Fredrickson JK (2012). Stochastic and deterministic assembly processes in subsurface microbial communities. </w:t>
      </w:r>
      <w:r w:rsidRPr="00B95A1C">
        <w:rPr>
          <w:i/>
          <w:noProof/>
        </w:rPr>
        <w:t>The ISME journal</w:t>
      </w:r>
      <w:r w:rsidRPr="00B95A1C">
        <w:rPr>
          <w:noProof/>
        </w:rPr>
        <w:t xml:space="preserve"> </w:t>
      </w:r>
      <w:r w:rsidRPr="00B95A1C">
        <w:rPr>
          <w:b/>
          <w:noProof/>
        </w:rPr>
        <w:t>6:</w:t>
      </w:r>
      <w:r w:rsidRPr="00B95A1C">
        <w:rPr>
          <w:noProof/>
        </w:rPr>
        <w:t xml:space="preserve"> 1653-1664.</w:t>
      </w:r>
    </w:p>
    <w:p w14:paraId="40FD1153" w14:textId="77777777" w:rsidR="00B95A1C" w:rsidRPr="00B95A1C" w:rsidRDefault="00B95A1C" w:rsidP="00B95A1C">
      <w:pPr>
        <w:pStyle w:val="EndNoteBibliography"/>
        <w:ind w:left="720" w:hanging="720"/>
        <w:rPr>
          <w:noProof/>
        </w:rPr>
      </w:pPr>
    </w:p>
    <w:p w14:paraId="062E7014" w14:textId="77777777" w:rsidR="00B95A1C" w:rsidRPr="00B95A1C" w:rsidRDefault="00B95A1C" w:rsidP="00B95A1C">
      <w:pPr>
        <w:pStyle w:val="EndNoteBibliography"/>
        <w:ind w:left="720" w:hanging="720"/>
        <w:rPr>
          <w:noProof/>
        </w:rPr>
      </w:pPr>
      <w:r w:rsidRPr="00B95A1C">
        <w:rPr>
          <w:noProof/>
        </w:rPr>
        <w:t>Stegen JC, Lin X, Fredrickson JK, Chen X, Kennedy DW, Murray CJ</w:t>
      </w:r>
      <w:r w:rsidRPr="00B95A1C">
        <w:rPr>
          <w:i/>
          <w:noProof/>
        </w:rPr>
        <w:t xml:space="preserve"> et al</w:t>
      </w:r>
      <w:r w:rsidRPr="00B95A1C">
        <w:rPr>
          <w:noProof/>
        </w:rPr>
        <w:t xml:space="preserve"> (2013). Quantifying community assembly processes and identifying features that impose them. </w:t>
      </w:r>
      <w:r w:rsidRPr="00B95A1C">
        <w:rPr>
          <w:i/>
          <w:noProof/>
        </w:rPr>
        <w:t>The ISME journal</w:t>
      </w:r>
      <w:r w:rsidRPr="00B95A1C">
        <w:rPr>
          <w:noProof/>
        </w:rPr>
        <w:t xml:space="preserve"> </w:t>
      </w:r>
      <w:r w:rsidRPr="00B95A1C">
        <w:rPr>
          <w:b/>
          <w:noProof/>
        </w:rPr>
        <w:t>7:</w:t>
      </w:r>
      <w:r w:rsidRPr="00B95A1C">
        <w:rPr>
          <w:noProof/>
        </w:rPr>
        <w:t xml:space="preserve"> 2069-2079.</w:t>
      </w:r>
    </w:p>
    <w:p w14:paraId="78ADF656" w14:textId="77777777" w:rsidR="00B95A1C" w:rsidRPr="00B95A1C" w:rsidRDefault="00B95A1C" w:rsidP="00B95A1C">
      <w:pPr>
        <w:pStyle w:val="EndNoteBibliography"/>
        <w:ind w:left="720" w:hanging="720"/>
        <w:rPr>
          <w:noProof/>
        </w:rPr>
      </w:pPr>
    </w:p>
    <w:p w14:paraId="62CABFC6" w14:textId="77777777" w:rsidR="00B95A1C" w:rsidRPr="00B95A1C" w:rsidRDefault="00B95A1C" w:rsidP="00B95A1C">
      <w:pPr>
        <w:pStyle w:val="EndNoteBibliography"/>
        <w:ind w:left="720" w:hanging="720"/>
        <w:rPr>
          <w:noProof/>
        </w:rPr>
      </w:pPr>
      <w:r w:rsidRPr="00B95A1C">
        <w:rPr>
          <w:noProof/>
        </w:rPr>
        <w:t xml:space="preserve">Stegen JC, Lin X, Fredrickson JK, Konopka AE (2015). Estimating and mapping ecological processes influencing microbial community assembly. </w:t>
      </w:r>
      <w:r w:rsidRPr="00B95A1C">
        <w:rPr>
          <w:i/>
          <w:noProof/>
        </w:rPr>
        <w:t>Frontiers in microbiology</w:t>
      </w:r>
      <w:r w:rsidRPr="00B95A1C">
        <w:rPr>
          <w:noProof/>
        </w:rPr>
        <w:t xml:space="preserve"> </w:t>
      </w:r>
      <w:r w:rsidRPr="00B95A1C">
        <w:rPr>
          <w:b/>
          <w:noProof/>
        </w:rPr>
        <w:t>6</w:t>
      </w:r>
      <w:r w:rsidRPr="00B95A1C">
        <w:rPr>
          <w:noProof/>
        </w:rPr>
        <w:t>.</w:t>
      </w:r>
    </w:p>
    <w:p w14:paraId="0AAA5DF3" w14:textId="77777777" w:rsidR="00B95A1C" w:rsidRPr="00B95A1C" w:rsidRDefault="00B95A1C" w:rsidP="00B95A1C">
      <w:pPr>
        <w:pStyle w:val="EndNoteBibliography"/>
        <w:ind w:left="720" w:hanging="720"/>
        <w:rPr>
          <w:noProof/>
        </w:rPr>
      </w:pPr>
    </w:p>
    <w:p w14:paraId="4F3CD17A" w14:textId="77777777" w:rsidR="00B95A1C" w:rsidRPr="00B95A1C" w:rsidRDefault="00B95A1C" w:rsidP="00B95A1C">
      <w:pPr>
        <w:pStyle w:val="EndNoteBibliography"/>
        <w:ind w:left="720" w:hanging="720"/>
        <w:rPr>
          <w:noProof/>
        </w:rPr>
      </w:pPr>
      <w:r w:rsidRPr="00B95A1C">
        <w:rPr>
          <w:noProof/>
        </w:rPr>
        <w:t xml:space="preserve">Webb CO, Ackerly DD, Kembel SW (2008). Phylocom: software for the analysis of phylogenetic community structure and trait evolution. </w:t>
      </w:r>
      <w:r w:rsidRPr="00B95A1C">
        <w:rPr>
          <w:i/>
          <w:noProof/>
        </w:rPr>
        <w:t>Bioinformatics</w:t>
      </w:r>
      <w:r w:rsidRPr="00B95A1C">
        <w:rPr>
          <w:noProof/>
        </w:rPr>
        <w:t xml:space="preserve"> </w:t>
      </w:r>
      <w:r w:rsidRPr="00B95A1C">
        <w:rPr>
          <w:b/>
          <w:noProof/>
        </w:rPr>
        <w:t>24:</w:t>
      </w:r>
      <w:r w:rsidRPr="00B95A1C">
        <w:rPr>
          <w:noProof/>
        </w:rPr>
        <w:t xml:space="preserve"> 2098-2100.</w:t>
      </w:r>
    </w:p>
    <w:p w14:paraId="1ED7BC73" w14:textId="77777777" w:rsidR="00B95A1C" w:rsidRPr="00B95A1C" w:rsidRDefault="00B95A1C" w:rsidP="00B95A1C">
      <w:pPr>
        <w:pStyle w:val="EndNoteBibliography"/>
        <w:ind w:left="720" w:hanging="720"/>
        <w:rPr>
          <w:noProof/>
        </w:rPr>
      </w:pPr>
    </w:p>
    <w:p w14:paraId="113F3AC7" w14:textId="6B3D0438" w:rsidR="003B4A05" w:rsidRDefault="00AD203D" w:rsidP="00B95A1C">
      <w:pPr>
        <w:spacing w:line="480" w:lineRule="auto"/>
        <w:ind w:left="720" w:hanging="720"/>
      </w:pPr>
      <w:r>
        <w:fldChar w:fldCharType="end"/>
      </w:r>
      <w:bookmarkEnd w:id="0"/>
    </w:p>
    <w:sectPr w:rsidR="003B4A05" w:rsidSect="00FC205A">
      <w:pgSz w:w="12240" w:h="15840"/>
      <w:pgMar w:top="720" w:right="1440" w:bottom="792"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F2CBB" w14:textId="77777777" w:rsidR="0089660A" w:rsidRDefault="0089660A" w:rsidP="00682170">
      <w:r>
        <w:separator/>
      </w:r>
    </w:p>
  </w:endnote>
  <w:endnote w:type="continuationSeparator" w:id="0">
    <w:p w14:paraId="3058D0AC" w14:textId="77777777" w:rsidR="0089660A" w:rsidRDefault="0089660A" w:rsidP="0068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53A49" w14:textId="77777777" w:rsidR="0089660A" w:rsidRDefault="0089660A" w:rsidP="00682170">
      <w:r>
        <w:separator/>
      </w:r>
    </w:p>
  </w:footnote>
  <w:footnote w:type="continuationSeparator" w:id="0">
    <w:p w14:paraId="1644F1F2" w14:textId="77777777" w:rsidR="0089660A" w:rsidRDefault="0089660A" w:rsidP="006821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50B1C" w14:textId="77777777" w:rsidR="0089660A" w:rsidRDefault="0089660A" w:rsidP="005522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F340AC" w14:textId="77777777" w:rsidR="0089660A" w:rsidRDefault="0089660A" w:rsidP="0068217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2CC8" w14:textId="77777777" w:rsidR="0089660A" w:rsidRDefault="0089660A" w:rsidP="005522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5A1C">
      <w:rPr>
        <w:rStyle w:val="PageNumber"/>
        <w:noProof/>
      </w:rPr>
      <w:t>19</w:t>
    </w:r>
    <w:r>
      <w:rPr>
        <w:rStyle w:val="PageNumber"/>
      </w:rPr>
      <w:fldChar w:fldCharType="end"/>
    </w:r>
  </w:p>
  <w:p w14:paraId="4F46E45A" w14:textId="77777777" w:rsidR="0089660A" w:rsidRDefault="0089660A" w:rsidP="0068217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SME Jour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D6546"/>
    <w:rsid w:val="00014E5D"/>
    <w:rsid w:val="000575DA"/>
    <w:rsid w:val="0008487E"/>
    <w:rsid w:val="000A0EDD"/>
    <w:rsid w:val="000B7071"/>
    <w:rsid w:val="00111894"/>
    <w:rsid w:val="001300C1"/>
    <w:rsid w:val="00146DC9"/>
    <w:rsid w:val="001658D7"/>
    <w:rsid w:val="001675F8"/>
    <w:rsid w:val="00175810"/>
    <w:rsid w:val="001E325A"/>
    <w:rsid w:val="001E36E2"/>
    <w:rsid w:val="001E63DC"/>
    <w:rsid w:val="001F27DF"/>
    <w:rsid w:val="00207451"/>
    <w:rsid w:val="002135A3"/>
    <w:rsid w:val="00217B8A"/>
    <w:rsid w:val="00233EE6"/>
    <w:rsid w:val="00250EDD"/>
    <w:rsid w:val="002764EC"/>
    <w:rsid w:val="002A1FD6"/>
    <w:rsid w:val="002B7D7A"/>
    <w:rsid w:val="002D283A"/>
    <w:rsid w:val="00304360"/>
    <w:rsid w:val="003201AF"/>
    <w:rsid w:val="00344C23"/>
    <w:rsid w:val="00347481"/>
    <w:rsid w:val="003A6B96"/>
    <w:rsid w:val="003B0329"/>
    <w:rsid w:val="003B4A05"/>
    <w:rsid w:val="003C5A6E"/>
    <w:rsid w:val="003D211B"/>
    <w:rsid w:val="003F40EB"/>
    <w:rsid w:val="00446ABC"/>
    <w:rsid w:val="00454EED"/>
    <w:rsid w:val="00466A7E"/>
    <w:rsid w:val="004854A6"/>
    <w:rsid w:val="004A5E4B"/>
    <w:rsid w:val="004D61A9"/>
    <w:rsid w:val="004E421B"/>
    <w:rsid w:val="004E5272"/>
    <w:rsid w:val="00535EC8"/>
    <w:rsid w:val="005522F9"/>
    <w:rsid w:val="00554BC9"/>
    <w:rsid w:val="00562942"/>
    <w:rsid w:val="00567882"/>
    <w:rsid w:val="0057220A"/>
    <w:rsid w:val="0059475A"/>
    <w:rsid w:val="005B6787"/>
    <w:rsid w:val="005C2DE1"/>
    <w:rsid w:val="005D071F"/>
    <w:rsid w:val="005F0063"/>
    <w:rsid w:val="00616434"/>
    <w:rsid w:val="00631485"/>
    <w:rsid w:val="0063294D"/>
    <w:rsid w:val="00642053"/>
    <w:rsid w:val="006711AE"/>
    <w:rsid w:val="00673159"/>
    <w:rsid w:val="0068050B"/>
    <w:rsid w:val="00682170"/>
    <w:rsid w:val="0068535A"/>
    <w:rsid w:val="006955EC"/>
    <w:rsid w:val="006A76CC"/>
    <w:rsid w:val="006C026D"/>
    <w:rsid w:val="006E2035"/>
    <w:rsid w:val="006E7F41"/>
    <w:rsid w:val="00717234"/>
    <w:rsid w:val="007179C4"/>
    <w:rsid w:val="00725186"/>
    <w:rsid w:val="00742A9A"/>
    <w:rsid w:val="00762AC4"/>
    <w:rsid w:val="00781981"/>
    <w:rsid w:val="007B66F9"/>
    <w:rsid w:val="007C1920"/>
    <w:rsid w:val="007F1F0B"/>
    <w:rsid w:val="007F6F55"/>
    <w:rsid w:val="00812C9A"/>
    <w:rsid w:val="00842325"/>
    <w:rsid w:val="008931A1"/>
    <w:rsid w:val="008946FB"/>
    <w:rsid w:val="0089660A"/>
    <w:rsid w:val="008A5B60"/>
    <w:rsid w:val="00927045"/>
    <w:rsid w:val="009351E8"/>
    <w:rsid w:val="0094397A"/>
    <w:rsid w:val="00A142E0"/>
    <w:rsid w:val="00A1484F"/>
    <w:rsid w:val="00A51B59"/>
    <w:rsid w:val="00A52C26"/>
    <w:rsid w:val="00A55472"/>
    <w:rsid w:val="00A5609B"/>
    <w:rsid w:val="00A732DE"/>
    <w:rsid w:val="00AA20EB"/>
    <w:rsid w:val="00AC19DF"/>
    <w:rsid w:val="00AC3BC7"/>
    <w:rsid w:val="00AD203D"/>
    <w:rsid w:val="00AD6546"/>
    <w:rsid w:val="00AF7635"/>
    <w:rsid w:val="00B10720"/>
    <w:rsid w:val="00B31A7D"/>
    <w:rsid w:val="00B32DEA"/>
    <w:rsid w:val="00B461D4"/>
    <w:rsid w:val="00B54D51"/>
    <w:rsid w:val="00B712C5"/>
    <w:rsid w:val="00B7136B"/>
    <w:rsid w:val="00B73B05"/>
    <w:rsid w:val="00B77E73"/>
    <w:rsid w:val="00B95A1C"/>
    <w:rsid w:val="00BA0A94"/>
    <w:rsid w:val="00BC13CD"/>
    <w:rsid w:val="00C14C37"/>
    <w:rsid w:val="00C60316"/>
    <w:rsid w:val="00C64DC0"/>
    <w:rsid w:val="00C84334"/>
    <w:rsid w:val="00CA2B8A"/>
    <w:rsid w:val="00CC4679"/>
    <w:rsid w:val="00CD00D8"/>
    <w:rsid w:val="00D50C1F"/>
    <w:rsid w:val="00D70F04"/>
    <w:rsid w:val="00DC5885"/>
    <w:rsid w:val="00DC5E81"/>
    <w:rsid w:val="00DF5678"/>
    <w:rsid w:val="00E07F60"/>
    <w:rsid w:val="00E11561"/>
    <w:rsid w:val="00E147A2"/>
    <w:rsid w:val="00E33A6F"/>
    <w:rsid w:val="00E44515"/>
    <w:rsid w:val="00E72BA7"/>
    <w:rsid w:val="00EC7560"/>
    <w:rsid w:val="00F11156"/>
    <w:rsid w:val="00F20FCB"/>
    <w:rsid w:val="00F412C1"/>
    <w:rsid w:val="00F545BD"/>
    <w:rsid w:val="00F85B71"/>
    <w:rsid w:val="00F870E8"/>
    <w:rsid w:val="00FA17CE"/>
    <w:rsid w:val="00FC205A"/>
    <w:rsid w:val="00FF0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AE80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5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6546"/>
    <w:rPr>
      <w:rFonts w:ascii="Lucida Grande" w:hAnsi="Lucida Grande" w:cs="Lucida Grande"/>
      <w:sz w:val="18"/>
      <w:szCs w:val="18"/>
    </w:rPr>
  </w:style>
  <w:style w:type="character" w:styleId="Hyperlink">
    <w:name w:val="Hyperlink"/>
    <w:basedOn w:val="DefaultParagraphFont"/>
    <w:uiPriority w:val="99"/>
    <w:unhideWhenUsed/>
    <w:rsid w:val="00A1484F"/>
    <w:rPr>
      <w:color w:val="0000FF" w:themeColor="hyperlink"/>
      <w:u w:val="single"/>
    </w:rPr>
  </w:style>
  <w:style w:type="paragraph" w:customStyle="1" w:styleId="EndNoteBibliographyTitle">
    <w:name w:val="EndNote Bibliography Title"/>
    <w:basedOn w:val="Normal"/>
    <w:rsid w:val="00AD203D"/>
    <w:pPr>
      <w:jc w:val="center"/>
    </w:pPr>
  </w:style>
  <w:style w:type="paragraph" w:customStyle="1" w:styleId="EndNoteBibliography">
    <w:name w:val="EndNote Bibliography"/>
    <w:basedOn w:val="Normal"/>
    <w:rsid w:val="00AD203D"/>
  </w:style>
  <w:style w:type="paragraph" w:styleId="Header">
    <w:name w:val="header"/>
    <w:basedOn w:val="Normal"/>
    <w:link w:val="HeaderChar"/>
    <w:uiPriority w:val="99"/>
    <w:unhideWhenUsed/>
    <w:rsid w:val="00682170"/>
    <w:pPr>
      <w:tabs>
        <w:tab w:val="center" w:pos="4320"/>
        <w:tab w:val="right" w:pos="8640"/>
      </w:tabs>
    </w:pPr>
  </w:style>
  <w:style w:type="character" w:customStyle="1" w:styleId="HeaderChar">
    <w:name w:val="Header Char"/>
    <w:basedOn w:val="DefaultParagraphFont"/>
    <w:link w:val="Header"/>
    <w:uiPriority w:val="99"/>
    <w:rsid w:val="00682170"/>
  </w:style>
  <w:style w:type="character" w:styleId="PageNumber">
    <w:name w:val="page number"/>
    <w:basedOn w:val="DefaultParagraphFont"/>
    <w:uiPriority w:val="99"/>
    <w:semiHidden/>
    <w:unhideWhenUsed/>
    <w:rsid w:val="00682170"/>
  </w:style>
  <w:style w:type="character" w:styleId="CommentReference">
    <w:name w:val="annotation reference"/>
    <w:basedOn w:val="DefaultParagraphFont"/>
    <w:uiPriority w:val="99"/>
    <w:semiHidden/>
    <w:unhideWhenUsed/>
    <w:rsid w:val="003201AF"/>
    <w:rPr>
      <w:sz w:val="16"/>
      <w:szCs w:val="16"/>
    </w:rPr>
  </w:style>
  <w:style w:type="paragraph" w:styleId="CommentText">
    <w:name w:val="annotation text"/>
    <w:basedOn w:val="Normal"/>
    <w:link w:val="CommentTextChar"/>
    <w:uiPriority w:val="99"/>
    <w:unhideWhenUsed/>
    <w:rsid w:val="003201AF"/>
    <w:rPr>
      <w:sz w:val="20"/>
      <w:szCs w:val="20"/>
    </w:rPr>
  </w:style>
  <w:style w:type="character" w:customStyle="1" w:styleId="CommentTextChar">
    <w:name w:val="Comment Text Char"/>
    <w:basedOn w:val="DefaultParagraphFont"/>
    <w:link w:val="CommentText"/>
    <w:uiPriority w:val="99"/>
    <w:rsid w:val="003201AF"/>
    <w:rPr>
      <w:sz w:val="20"/>
      <w:szCs w:val="20"/>
    </w:rPr>
  </w:style>
  <w:style w:type="paragraph" w:styleId="CommentSubject">
    <w:name w:val="annotation subject"/>
    <w:basedOn w:val="CommentText"/>
    <w:next w:val="CommentText"/>
    <w:link w:val="CommentSubjectChar"/>
    <w:uiPriority w:val="99"/>
    <w:semiHidden/>
    <w:unhideWhenUsed/>
    <w:rsid w:val="00812C9A"/>
    <w:rPr>
      <w:b/>
      <w:bCs/>
    </w:rPr>
  </w:style>
  <w:style w:type="character" w:customStyle="1" w:styleId="CommentSubjectChar">
    <w:name w:val="Comment Subject Char"/>
    <w:basedOn w:val="CommentTextChar"/>
    <w:link w:val="CommentSubject"/>
    <w:uiPriority w:val="99"/>
    <w:semiHidden/>
    <w:rsid w:val="00812C9A"/>
    <w:rPr>
      <w:b/>
      <w:bCs/>
      <w:sz w:val="20"/>
      <w:szCs w:val="20"/>
    </w:rPr>
  </w:style>
  <w:style w:type="character" w:customStyle="1" w:styleId="method-name">
    <w:name w:val="method-name"/>
    <w:basedOn w:val="DefaultParagraphFont"/>
    <w:rsid w:val="00304360"/>
  </w:style>
  <w:style w:type="character" w:customStyle="1" w:styleId="method-descriptive-name">
    <w:name w:val="method-descriptive-name"/>
    <w:basedOn w:val="DefaultParagraphFont"/>
    <w:rsid w:val="00304360"/>
  </w:style>
  <w:style w:type="character" w:styleId="LineNumber">
    <w:name w:val="line number"/>
    <w:basedOn w:val="DefaultParagraphFont"/>
    <w:uiPriority w:val="99"/>
    <w:semiHidden/>
    <w:unhideWhenUsed/>
    <w:rsid w:val="00B7136B"/>
  </w:style>
  <w:style w:type="paragraph" w:styleId="Footer">
    <w:name w:val="footer"/>
    <w:basedOn w:val="Normal"/>
    <w:link w:val="FooterChar"/>
    <w:uiPriority w:val="99"/>
    <w:unhideWhenUsed/>
    <w:rsid w:val="00FC205A"/>
    <w:pPr>
      <w:tabs>
        <w:tab w:val="center" w:pos="4320"/>
        <w:tab w:val="right" w:pos="8640"/>
      </w:tabs>
    </w:pPr>
  </w:style>
  <w:style w:type="character" w:customStyle="1" w:styleId="FooterChar">
    <w:name w:val="Footer Char"/>
    <w:basedOn w:val="DefaultParagraphFont"/>
    <w:link w:val="Footer"/>
    <w:uiPriority w:val="99"/>
    <w:rsid w:val="00FC20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5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6546"/>
    <w:rPr>
      <w:rFonts w:ascii="Lucida Grande" w:hAnsi="Lucida Grande" w:cs="Lucida Grande"/>
      <w:sz w:val="18"/>
      <w:szCs w:val="18"/>
    </w:rPr>
  </w:style>
  <w:style w:type="character" w:styleId="Hyperlink">
    <w:name w:val="Hyperlink"/>
    <w:basedOn w:val="DefaultParagraphFont"/>
    <w:uiPriority w:val="99"/>
    <w:unhideWhenUsed/>
    <w:rsid w:val="00A1484F"/>
    <w:rPr>
      <w:color w:val="0000FF" w:themeColor="hyperlink"/>
      <w:u w:val="single"/>
    </w:rPr>
  </w:style>
  <w:style w:type="paragraph" w:customStyle="1" w:styleId="EndNoteBibliographyTitle">
    <w:name w:val="EndNote Bibliography Title"/>
    <w:basedOn w:val="Normal"/>
    <w:rsid w:val="00AD203D"/>
    <w:pPr>
      <w:jc w:val="center"/>
    </w:pPr>
  </w:style>
  <w:style w:type="paragraph" w:customStyle="1" w:styleId="EndNoteBibliography">
    <w:name w:val="EndNote Bibliography"/>
    <w:basedOn w:val="Normal"/>
    <w:rsid w:val="00AD203D"/>
  </w:style>
  <w:style w:type="paragraph" w:styleId="Header">
    <w:name w:val="header"/>
    <w:basedOn w:val="Normal"/>
    <w:link w:val="HeaderChar"/>
    <w:uiPriority w:val="99"/>
    <w:unhideWhenUsed/>
    <w:rsid w:val="00682170"/>
    <w:pPr>
      <w:tabs>
        <w:tab w:val="center" w:pos="4320"/>
        <w:tab w:val="right" w:pos="8640"/>
      </w:tabs>
    </w:pPr>
  </w:style>
  <w:style w:type="character" w:customStyle="1" w:styleId="HeaderChar">
    <w:name w:val="Header Char"/>
    <w:basedOn w:val="DefaultParagraphFont"/>
    <w:link w:val="Header"/>
    <w:uiPriority w:val="99"/>
    <w:rsid w:val="00682170"/>
  </w:style>
  <w:style w:type="character" w:styleId="PageNumber">
    <w:name w:val="page number"/>
    <w:basedOn w:val="DefaultParagraphFont"/>
    <w:uiPriority w:val="99"/>
    <w:semiHidden/>
    <w:unhideWhenUsed/>
    <w:rsid w:val="00682170"/>
  </w:style>
  <w:style w:type="character" w:styleId="CommentReference">
    <w:name w:val="annotation reference"/>
    <w:basedOn w:val="DefaultParagraphFont"/>
    <w:uiPriority w:val="99"/>
    <w:semiHidden/>
    <w:unhideWhenUsed/>
    <w:rsid w:val="003201AF"/>
    <w:rPr>
      <w:sz w:val="16"/>
      <w:szCs w:val="16"/>
    </w:rPr>
  </w:style>
  <w:style w:type="paragraph" w:styleId="CommentText">
    <w:name w:val="annotation text"/>
    <w:basedOn w:val="Normal"/>
    <w:link w:val="CommentTextChar"/>
    <w:uiPriority w:val="99"/>
    <w:unhideWhenUsed/>
    <w:rsid w:val="003201AF"/>
    <w:rPr>
      <w:sz w:val="20"/>
      <w:szCs w:val="20"/>
    </w:rPr>
  </w:style>
  <w:style w:type="character" w:customStyle="1" w:styleId="CommentTextChar">
    <w:name w:val="Comment Text Char"/>
    <w:basedOn w:val="DefaultParagraphFont"/>
    <w:link w:val="CommentText"/>
    <w:uiPriority w:val="99"/>
    <w:rsid w:val="003201AF"/>
    <w:rPr>
      <w:sz w:val="20"/>
      <w:szCs w:val="20"/>
    </w:rPr>
  </w:style>
  <w:style w:type="paragraph" w:styleId="CommentSubject">
    <w:name w:val="annotation subject"/>
    <w:basedOn w:val="CommentText"/>
    <w:next w:val="CommentText"/>
    <w:link w:val="CommentSubjectChar"/>
    <w:uiPriority w:val="99"/>
    <w:semiHidden/>
    <w:unhideWhenUsed/>
    <w:rsid w:val="00812C9A"/>
    <w:rPr>
      <w:b/>
      <w:bCs/>
    </w:rPr>
  </w:style>
  <w:style w:type="character" w:customStyle="1" w:styleId="CommentSubjectChar">
    <w:name w:val="Comment Subject Char"/>
    <w:basedOn w:val="CommentTextChar"/>
    <w:link w:val="CommentSubject"/>
    <w:uiPriority w:val="99"/>
    <w:semiHidden/>
    <w:rsid w:val="00812C9A"/>
    <w:rPr>
      <w:b/>
      <w:bCs/>
      <w:sz w:val="20"/>
      <w:szCs w:val="20"/>
    </w:rPr>
  </w:style>
  <w:style w:type="character" w:customStyle="1" w:styleId="method-name">
    <w:name w:val="method-name"/>
    <w:basedOn w:val="DefaultParagraphFont"/>
    <w:rsid w:val="00304360"/>
  </w:style>
  <w:style w:type="character" w:customStyle="1" w:styleId="method-descriptive-name">
    <w:name w:val="method-descriptive-name"/>
    <w:basedOn w:val="DefaultParagraphFont"/>
    <w:rsid w:val="00304360"/>
  </w:style>
  <w:style w:type="character" w:styleId="LineNumber">
    <w:name w:val="line number"/>
    <w:basedOn w:val="DefaultParagraphFont"/>
    <w:uiPriority w:val="99"/>
    <w:semiHidden/>
    <w:unhideWhenUsed/>
    <w:rsid w:val="00B7136B"/>
  </w:style>
  <w:style w:type="paragraph" w:styleId="Footer">
    <w:name w:val="footer"/>
    <w:basedOn w:val="Normal"/>
    <w:link w:val="FooterChar"/>
    <w:uiPriority w:val="99"/>
    <w:unhideWhenUsed/>
    <w:rsid w:val="00FC205A"/>
    <w:pPr>
      <w:tabs>
        <w:tab w:val="center" w:pos="4320"/>
        <w:tab w:val="right" w:pos="8640"/>
      </w:tabs>
    </w:pPr>
  </w:style>
  <w:style w:type="character" w:customStyle="1" w:styleId="FooterChar">
    <w:name w:val="Footer Char"/>
    <w:basedOn w:val="DefaultParagraphFont"/>
    <w:link w:val="Footer"/>
    <w:uiPriority w:val="99"/>
    <w:rsid w:val="00FC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4824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image" Target="media/image7.emf"/><Relationship Id="rId21" Type="http://schemas.openxmlformats.org/officeDocument/2006/relationships/package" Target="embeddings/Microsoft_Excel_Sheet5.xlsx"/><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image" Target="media/image3.emf"/><Relationship Id="rId13" Type="http://schemas.openxmlformats.org/officeDocument/2006/relationships/package" Target="embeddings/Microsoft_Excel_Sheet1.xlsx"/><Relationship Id="rId14" Type="http://schemas.openxmlformats.org/officeDocument/2006/relationships/image" Target="media/image4.emf"/><Relationship Id="rId15" Type="http://schemas.openxmlformats.org/officeDocument/2006/relationships/package" Target="embeddings/Microsoft_Excel_Sheet2.xlsx"/><Relationship Id="rId16" Type="http://schemas.openxmlformats.org/officeDocument/2006/relationships/image" Target="media/image5.emf"/><Relationship Id="rId17" Type="http://schemas.openxmlformats.org/officeDocument/2006/relationships/package" Target="embeddings/Microsoft_Excel_Sheet3.xlsx"/><Relationship Id="rId18" Type="http://schemas.openxmlformats.org/officeDocument/2006/relationships/image" Target="media/image6.emf"/><Relationship Id="rId19" Type="http://schemas.openxmlformats.org/officeDocument/2006/relationships/package" Target="embeddings/Microsoft_Excel_Sheet4.xlsx"/><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C7BE-2241-B442-807F-62C22D7C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19</Pages>
  <Words>5517</Words>
  <Characters>34316</Characters>
  <Application>Microsoft Macintosh Word</Application>
  <DocSecurity>0</DocSecurity>
  <Lines>571</Lines>
  <Paragraphs>191</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39642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 Graham</dc:creator>
  <cp:lastModifiedBy>Emily B Graham</cp:lastModifiedBy>
  <cp:revision>28</cp:revision>
  <dcterms:created xsi:type="dcterms:W3CDTF">2016-05-11T16:18:00Z</dcterms:created>
  <dcterms:modified xsi:type="dcterms:W3CDTF">2016-05-23T18:38:00Z</dcterms:modified>
</cp:coreProperties>
</file>