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2034"/>
        <w:gridCol w:w="5847"/>
        <w:gridCol w:w="2127"/>
        <w:gridCol w:w="2025"/>
      </w:tblGrid>
      <w:tr w:rsidR="000C149C" w:rsidRPr="000C149C" w:rsidTr="000C149C">
        <w:trPr>
          <w:trHeight w:val="276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Generalized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category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Type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of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Definition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Authors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b/>
                <w:color w:val="000000"/>
                <w:lang w:eastAsia="sv-SE"/>
              </w:rPr>
              <w:t>Disagreement</w:t>
            </w:r>
            <w:proofErr w:type="spellEnd"/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proofErr w:type="gram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No 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  <w:proofErr w:type="gram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given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Presumed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Consent is presumed to have been given by donors to use their samples and information for all research unless they actively choose to opt out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Master et. al and Hofman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</w:tr>
      <w:tr w:rsidR="000C149C" w:rsidRPr="000C149C" w:rsidTr="000C149C">
        <w:trPr>
          <w:trHeight w:val="552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Passive/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tacit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/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silent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Presuming that the persons object if they do not consent.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Hofman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Hypothetical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Consent under the presumption that a person would have consented to the treatment or research were she or he able to consent.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Hofman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</w:tr>
      <w:tr w:rsidR="000C149C" w:rsidRPr="000C149C" w:rsidTr="000C149C">
        <w:trPr>
          <w:trHeight w:val="552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A broad or specific consent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Future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/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deferred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Postponing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the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procedure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Hofman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An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extremely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broad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General/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b</w:t>
            </w: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lanket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/</w:t>
            </w:r>
            <w:proofErr w:type="spellStart"/>
            <w:r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o</w:t>
            </w: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pen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Donors can actively consent once for the current study and all future research involving the general use of their samples and information.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Master et. al., Hofman and Salvaterra et. al.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Salvaterra refer to this as broad consent.</w:t>
            </w: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May be either broad or specific depending on how the consent is formulated and the definition employed by the reviewers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Broad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Donors can actively consent once for the current study and all future research within a broad field,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eg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, cancer, diabetes, or heart disease.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Master et. al., Hofman and Salvaterra et. al.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Salvaterra refer to this as partially restricted consent</w:t>
            </w: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Delegated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trustee</w:t>
            </w:r>
            <w:proofErr w:type="spellEnd"/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Donors can transfer consent to a trustee who is at arms-distance length from the biobank and consents on behalf of donor</w:t>
            </w:r>
            <w:bookmarkStart w:id="0" w:name="_GoBack"/>
            <w:bookmarkEnd w:id="0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Master et. a</w:t>
            </w:r>
            <w:r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</w:tr>
      <w:tr w:rsidR="000C149C" w:rsidRPr="000C149C" w:rsidTr="000C149C">
        <w:trPr>
          <w:trHeight w:val="138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Third party oversight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Donors can actively consent to a general, broad or other model, but an ethics board must approve the study before the commencement of research using stored samples and information. This approach is emerging as a common component of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biobanking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 governance schemes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Master et. a</w:t>
            </w:r>
            <w:r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</w:tr>
      <w:tr w:rsidR="000C149C" w:rsidRPr="000C149C" w:rsidTr="000C149C">
        <w:trPr>
          <w:trHeight w:val="1380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Tiered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Donors can actively consent once for the current study and choose one or more broad fields of research or other options,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ie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, whether they would be willing to have their samples used in research that result in commercialization.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Other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terms: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line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item or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multilayered</w:t>
            </w:r>
            <w:proofErr w:type="spellEnd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consent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Master et. a</w:t>
            </w:r>
            <w:r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Re-consent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Donors are informed and are required to consent to the current study and to each future research study involving the use of their samples and information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 xml:space="preserve">Master et. </w:t>
            </w:r>
            <w:r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al.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</w:tr>
      <w:tr w:rsidR="000C149C" w:rsidRPr="000C149C" w:rsidTr="000C149C">
        <w:trPr>
          <w:trHeight w:val="828"/>
        </w:trPr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Specific informed consent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val="en-US" w:eastAsia="sv-SE"/>
              </w:rPr>
              <w:t>Allows the use of biological specimens and related data only in immediate research; forbids any future study that is not foreseen at the time of the original consent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  <w:r w:rsidRPr="000C149C">
              <w:rPr>
                <w:rFonts w:ascii="Liberation Sans" w:eastAsia="Times New Roman" w:hAnsi="Liberation Sans" w:cs="Times New Roman"/>
                <w:color w:val="000000"/>
                <w:lang w:eastAsia="sv-SE"/>
              </w:rPr>
              <w:t>Salvaterra et. al.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149C" w:rsidRPr="000C149C" w:rsidRDefault="000C149C" w:rsidP="000C149C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sv-SE"/>
              </w:rPr>
            </w:pPr>
          </w:p>
        </w:tc>
      </w:tr>
    </w:tbl>
    <w:p w:rsidR="00603556" w:rsidRDefault="00603556"/>
    <w:sectPr w:rsidR="00603556" w:rsidSect="000C1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9C"/>
    <w:rsid w:val="00031698"/>
    <w:rsid w:val="0006048E"/>
    <w:rsid w:val="00063177"/>
    <w:rsid w:val="00083313"/>
    <w:rsid w:val="000B5E09"/>
    <w:rsid w:val="000C022C"/>
    <w:rsid w:val="000C149C"/>
    <w:rsid w:val="000D72A3"/>
    <w:rsid w:val="000E3680"/>
    <w:rsid w:val="000F085D"/>
    <w:rsid w:val="00127721"/>
    <w:rsid w:val="00143F02"/>
    <w:rsid w:val="00163DBA"/>
    <w:rsid w:val="001922BE"/>
    <w:rsid w:val="00193ED1"/>
    <w:rsid w:val="00197205"/>
    <w:rsid w:val="001F18AA"/>
    <w:rsid w:val="001F4EAB"/>
    <w:rsid w:val="001F685B"/>
    <w:rsid w:val="00205DC5"/>
    <w:rsid w:val="00206FFA"/>
    <w:rsid w:val="002162D9"/>
    <w:rsid w:val="002164D6"/>
    <w:rsid w:val="0024348A"/>
    <w:rsid w:val="00244DBF"/>
    <w:rsid w:val="00252DA8"/>
    <w:rsid w:val="00256306"/>
    <w:rsid w:val="002B0336"/>
    <w:rsid w:val="002C2EC9"/>
    <w:rsid w:val="002E60EE"/>
    <w:rsid w:val="002F0437"/>
    <w:rsid w:val="00326FD8"/>
    <w:rsid w:val="00330212"/>
    <w:rsid w:val="00351959"/>
    <w:rsid w:val="00362999"/>
    <w:rsid w:val="003716E9"/>
    <w:rsid w:val="00376A46"/>
    <w:rsid w:val="00387D3D"/>
    <w:rsid w:val="00396377"/>
    <w:rsid w:val="003974B8"/>
    <w:rsid w:val="003B44AF"/>
    <w:rsid w:val="003C1D56"/>
    <w:rsid w:val="003C6A76"/>
    <w:rsid w:val="003C6DE8"/>
    <w:rsid w:val="003D1D37"/>
    <w:rsid w:val="003D48AE"/>
    <w:rsid w:val="003D6B63"/>
    <w:rsid w:val="00403BC1"/>
    <w:rsid w:val="0045177B"/>
    <w:rsid w:val="00453A6C"/>
    <w:rsid w:val="0048325A"/>
    <w:rsid w:val="00494E4E"/>
    <w:rsid w:val="004B2A57"/>
    <w:rsid w:val="004E5B2B"/>
    <w:rsid w:val="0053053C"/>
    <w:rsid w:val="0053206D"/>
    <w:rsid w:val="00543CE0"/>
    <w:rsid w:val="0055106D"/>
    <w:rsid w:val="0059772A"/>
    <w:rsid w:val="005A0714"/>
    <w:rsid w:val="005A2A98"/>
    <w:rsid w:val="005C2A12"/>
    <w:rsid w:val="005D3469"/>
    <w:rsid w:val="005D78D5"/>
    <w:rsid w:val="00603556"/>
    <w:rsid w:val="00695A5B"/>
    <w:rsid w:val="00697D7F"/>
    <w:rsid w:val="006A71F5"/>
    <w:rsid w:val="006A78F2"/>
    <w:rsid w:val="006B6973"/>
    <w:rsid w:val="006D19E9"/>
    <w:rsid w:val="006E02A5"/>
    <w:rsid w:val="006E32EA"/>
    <w:rsid w:val="006F0DA9"/>
    <w:rsid w:val="007664B3"/>
    <w:rsid w:val="007C5008"/>
    <w:rsid w:val="008239A6"/>
    <w:rsid w:val="008249BE"/>
    <w:rsid w:val="008267EA"/>
    <w:rsid w:val="00833F53"/>
    <w:rsid w:val="00841FC9"/>
    <w:rsid w:val="00842802"/>
    <w:rsid w:val="00846758"/>
    <w:rsid w:val="00860C63"/>
    <w:rsid w:val="00875058"/>
    <w:rsid w:val="008767FF"/>
    <w:rsid w:val="00887BDA"/>
    <w:rsid w:val="008A69DF"/>
    <w:rsid w:val="008B6A96"/>
    <w:rsid w:val="008C253D"/>
    <w:rsid w:val="008D23A1"/>
    <w:rsid w:val="008F3FBF"/>
    <w:rsid w:val="008F43ED"/>
    <w:rsid w:val="009402DB"/>
    <w:rsid w:val="00942E18"/>
    <w:rsid w:val="0096062C"/>
    <w:rsid w:val="009710F0"/>
    <w:rsid w:val="009C1556"/>
    <w:rsid w:val="00A028F1"/>
    <w:rsid w:val="00A333FC"/>
    <w:rsid w:val="00A40178"/>
    <w:rsid w:val="00A40180"/>
    <w:rsid w:val="00A42EF5"/>
    <w:rsid w:val="00A5311D"/>
    <w:rsid w:val="00A70AF8"/>
    <w:rsid w:val="00A80C35"/>
    <w:rsid w:val="00AA6913"/>
    <w:rsid w:val="00AC37E9"/>
    <w:rsid w:val="00AD2B99"/>
    <w:rsid w:val="00AD5290"/>
    <w:rsid w:val="00B03934"/>
    <w:rsid w:val="00B45D35"/>
    <w:rsid w:val="00B476A1"/>
    <w:rsid w:val="00B66913"/>
    <w:rsid w:val="00B76DBC"/>
    <w:rsid w:val="00B9150A"/>
    <w:rsid w:val="00BB718B"/>
    <w:rsid w:val="00BC3545"/>
    <w:rsid w:val="00BD0107"/>
    <w:rsid w:val="00C21020"/>
    <w:rsid w:val="00C228D9"/>
    <w:rsid w:val="00C339AC"/>
    <w:rsid w:val="00C6552C"/>
    <w:rsid w:val="00C74215"/>
    <w:rsid w:val="00C94409"/>
    <w:rsid w:val="00CC3358"/>
    <w:rsid w:val="00CC7984"/>
    <w:rsid w:val="00CD2A4E"/>
    <w:rsid w:val="00D020FD"/>
    <w:rsid w:val="00D30E79"/>
    <w:rsid w:val="00D3178E"/>
    <w:rsid w:val="00D924B9"/>
    <w:rsid w:val="00DC3928"/>
    <w:rsid w:val="00DE0E27"/>
    <w:rsid w:val="00DE3E81"/>
    <w:rsid w:val="00DF0B95"/>
    <w:rsid w:val="00DF1949"/>
    <w:rsid w:val="00E277DB"/>
    <w:rsid w:val="00E36615"/>
    <w:rsid w:val="00E432AE"/>
    <w:rsid w:val="00E45874"/>
    <w:rsid w:val="00E46D9B"/>
    <w:rsid w:val="00E763DB"/>
    <w:rsid w:val="00E821C1"/>
    <w:rsid w:val="00E94818"/>
    <w:rsid w:val="00EA4704"/>
    <w:rsid w:val="00ED7A96"/>
    <w:rsid w:val="00EE0F1F"/>
    <w:rsid w:val="00EF56DF"/>
    <w:rsid w:val="00F313F7"/>
    <w:rsid w:val="00F419C7"/>
    <w:rsid w:val="00F468A2"/>
    <w:rsid w:val="00F52B1A"/>
    <w:rsid w:val="00F6457E"/>
    <w:rsid w:val="00F72CA5"/>
    <w:rsid w:val="00F76230"/>
    <w:rsid w:val="00F97BC0"/>
    <w:rsid w:val="00FB2D71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385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Sigvard</dc:creator>
  <cp:lastModifiedBy>Sigvard</cp:lastModifiedBy>
  <cp:revision>1</cp:revision>
  <dcterms:created xsi:type="dcterms:W3CDTF">2016-02-23T15:52:00Z</dcterms:created>
  <dcterms:modified xsi:type="dcterms:W3CDTF">2016-02-23T16:00:00Z</dcterms:modified>
</cp:coreProperties>
</file>