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7" w:rsidRPr="00297F91" w:rsidRDefault="00E16D77" w:rsidP="00E16D77">
      <w:pPr>
        <w:pStyle w:val="TableTitle"/>
        <w:rPr>
          <w:rFonts w:asciiTheme="minorHAnsi" w:hAnsiTheme="minorHAnsi"/>
          <w:b/>
          <w:sz w:val="30"/>
          <w:szCs w:val="30"/>
        </w:rPr>
      </w:pPr>
      <w:r w:rsidRPr="00297F91">
        <w:rPr>
          <w:rFonts w:asciiTheme="minorHAnsi" w:hAnsiTheme="minorHAnsi"/>
          <w:b/>
          <w:sz w:val="30"/>
          <w:szCs w:val="30"/>
        </w:rPr>
        <w:t>Supplemental Information</w:t>
      </w:r>
    </w:p>
    <w:p w:rsidR="00E16D77" w:rsidRPr="00297F91" w:rsidRDefault="00E16D77" w:rsidP="00E16D77">
      <w:pPr>
        <w:pStyle w:val="TableTitle"/>
        <w:rPr>
          <w:rFonts w:asciiTheme="minorHAnsi" w:hAnsiTheme="minorHAnsi"/>
          <w:sz w:val="20"/>
        </w:rPr>
      </w:pPr>
    </w:p>
    <w:p w:rsidR="00E16D77" w:rsidRPr="00297F91" w:rsidRDefault="00E16D77" w:rsidP="00E16D77">
      <w:pPr>
        <w:pStyle w:val="TableTitle"/>
        <w:rPr>
          <w:rFonts w:asciiTheme="minorHAnsi" w:hAnsiTheme="minorHAnsi"/>
          <w:b/>
          <w:sz w:val="22"/>
          <w:szCs w:val="22"/>
        </w:rPr>
      </w:pPr>
      <w:r w:rsidRPr="00297F91">
        <w:rPr>
          <w:rFonts w:asciiTheme="minorHAnsi" w:hAnsiTheme="minorHAnsi"/>
          <w:b/>
          <w:sz w:val="22"/>
          <w:szCs w:val="22"/>
        </w:rPr>
        <w:t>Table S1: Univariate logistic regression models for maternal and paternal education, and other risk factors related to stunting in flooded and non-flooded children populations aged 6 to 59 months in rural Odisha, India.</w:t>
      </w:r>
    </w:p>
    <w:p w:rsidR="00E16D77" w:rsidRPr="00297F91" w:rsidRDefault="00E16D77" w:rsidP="00E16D77">
      <w:pPr>
        <w:pStyle w:val="TableTitle"/>
        <w:rPr>
          <w:rFonts w:asciiTheme="minorHAnsi" w:hAnsiTheme="minorHAnsi"/>
          <w:sz w:val="22"/>
          <w:szCs w:val="22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26"/>
        <w:gridCol w:w="4135"/>
        <w:gridCol w:w="1739"/>
        <w:gridCol w:w="808"/>
        <w:gridCol w:w="1683"/>
        <w:gridCol w:w="759"/>
      </w:tblGrid>
      <w:tr w:rsidR="00E16D77" w:rsidRPr="00297F91" w:rsidTr="000339E6">
        <w:trPr>
          <w:trHeight w:val="288"/>
        </w:trPr>
        <w:tc>
          <w:tcPr>
            <w:tcW w:w="119" w:type="pct"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pct"/>
            <w:gridSpan w:val="2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Flooded (</w:t>
            </w:r>
            <w:r w:rsidRPr="00297F91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 xml:space="preserve"> = 299)</w:t>
            </w:r>
          </w:p>
        </w:tc>
        <w:tc>
          <w:tcPr>
            <w:tcW w:w="1217" w:type="pct"/>
            <w:gridSpan w:val="2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Non-flooded (</w:t>
            </w:r>
            <w:r w:rsidRPr="00297F91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 xml:space="preserve"> = 385)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PR (95% CI)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PR (95% CI)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Mother age at marriage (years)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0.920 (0.853, 0.991)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0.954 (0.880, 1.034)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Mother age at first delivery (years)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0.928 (0.864, 0.998)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0.951 (0.885, 1.021)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Mother age at birth of selected child (years)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0.971 (0.917, 1.028)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0.983 (0.940, 1.027)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Maternal education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schooling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Primary school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0.852 (0.481, 1.510)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1.096 (0.601, 1.998)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0.765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Middle school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0.436 (0.241, 0.789)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0.794 (0.424, 1.486)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0.471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0.558 (0.293, 1.062)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0.460 (0.228, 0.928)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0.031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College or more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0.334 (0.131, 0.851)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0.581 (0.213, 1.584)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0.290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Father age at birth of selected child (years)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0.964 (0.917, 1.013)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0.972 (0.938, 1.008)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Paternal education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schooling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Primary school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0.592 (0.363, 0.964)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0.469 (0.261, 0.843)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0.012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Middle school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0.277 (0.170, 0.453)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0.431 (0.256, 0.724)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0.330 (0.207, 0.524)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0.455 (0.275, 0.754)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College or more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0.314 (0.168, 0.590)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0.295 (0.140, 0.618)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Child sex (girl vs boy)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1.034 (0.683, 1.564)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0.827 (0.576, 1.188)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0.31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Child birthweight (per 100 g)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0.934 (0.896, 0.974)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0.947 (0.904, 0.993)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0.03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Child age (months)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1.016 (1.003, 1.029)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1.015 (1.004, 1.026)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Number of children (&lt; 5 years) eating from same kitchen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1.199 (0.946, 1.521)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0.986 (0.810, 1.200)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0.89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Means of livelihood (non-agricultural vs agricultural)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1.065 (0.686, 1.655)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1.049 (0.692, 1.588)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Religion (</w:t>
            </w:r>
            <w:proofErr w:type="spellStart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hindu</w:t>
            </w:r>
            <w:proofErr w:type="spellEnd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vs </w:t>
            </w:r>
            <w:proofErr w:type="spellStart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muslim</w:t>
            </w:r>
            <w:proofErr w:type="spellEnd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0.918 (0.583, 1.446)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1.806 (0.755, 4.321)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Caste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General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Other backward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1.792 (0.908, 3.537)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1.043 (0.607, 1.793)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Scheduled caste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2.237 (1.128, 4.436)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1.181 (0.660, 2.115)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caste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1.836 (0.900, 3.746)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0.597 (0.224, 1.593)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Land owned (hectare)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0.614 (0.366, 1.031)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0.880 (0.529, 1.465)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 xml:space="preserve">Per head annual income (per 1,000 rupees) 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0.941 (0.894, 0.991)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0.997 (0.972, 1.023)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Livestock owned (none vs any)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1.358 (0.901, 2.047)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0.961 (0.666, 1.388)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</w:tr>
      <w:tr w:rsidR="00E16D77" w:rsidRPr="00297F91" w:rsidTr="000339E6">
        <w:trPr>
          <w:trHeight w:val="288"/>
        </w:trPr>
        <w:tc>
          <w:tcPr>
            <w:tcW w:w="2399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Number of individuals eating from same kitchen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2-4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11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&gt;4</w:t>
            </w:r>
          </w:p>
        </w:tc>
        <w:tc>
          <w:tcPr>
            <w:tcW w:w="10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1.661 (0.839, 3.291)</w:t>
            </w:r>
          </w:p>
        </w:tc>
        <w:tc>
          <w:tcPr>
            <w:tcW w:w="29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9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0.781 (0.539, 1.133)</w:t>
            </w:r>
          </w:p>
        </w:tc>
        <w:tc>
          <w:tcPr>
            <w:tcW w:w="22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</w:tr>
    </w:tbl>
    <w:p w:rsidR="00E16D77" w:rsidRPr="00297F91" w:rsidRDefault="00E16D77" w:rsidP="00E16D77">
      <w:pPr>
        <w:pStyle w:val="TableTitle"/>
        <w:rPr>
          <w:rFonts w:asciiTheme="minorHAnsi" w:hAnsiTheme="minorHAnsi"/>
          <w:sz w:val="22"/>
          <w:szCs w:val="22"/>
        </w:rPr>
      </w:pPr>
    </w:p>
    <w:p w:rsidR="00E16D77" w:rsidRPr="00297F91" w:rsidRDefault="00E16D77" w:rsidP="00E16D77">
      <w:pPr>
        <w:pStyle w:val="TableTitle"/>
        <w:rPr>
          <w:rFonts w:asciiTheme="minorHAnsi" w:hAnsiTheme="minorHAnsi"/>
          <w:sz w:val="20"/>
        </w:rPr>
      </w:pPr>
    </w:p>
    <w:p w:rsidR="00E4626E" w:rsidRPr="00297F91" w:rsidRDefault="00E4626E" w:rsidP="00E16D77">
      <w:pPr>
        <w:pStyle w:val="TableTitle"/>
        <w:rPr>
          <w:rFonts w:asciiTheme="minorHAnsi" w:hAnsiTheme="minorHAnsi"/>
          <w:b/>
          <w:color w:val="000000" w:themeColor="text1"/>
          <w:sz w:val="22"/>
        </w:rPr>
      </w:pPr>
    </w:p>
    <w:p w:rsidR="00E4626E" w:rsidRPr="00297F91" w:rsidRDefault="00E4626E" w:rsidP="00E16D77">
      <w:pPr>
        <w:pStyle w:val="TableTitle"/>
        <w:rPr>
          <w:rFonts w:asciiTheme="minorHAnsi" w:hAnsiTheme="minorHAnsi"/>
          <w:b/>
          <w:color w:val="000000" w:themeColor="text1"/>
          <w:sz w:val="22"/>
        </w:rPr>
      </w:pPr>
    </w:p>
    <w:p w:rsidR="00E16D77" w:rsidRPr="00297F91" w:rsidRDefault="00E16D77" w:rsidP="00E16D77">
      <w:pPr>
        <w:pStyle w:val="TableTitle"/>
        <w:rPr>
          <w:rFonts w:asciiTheme="minorHAnsi" w:hAnsiTheme="minorHAnsi"/>
          <w:b/>
          <w:color w:val="000000" w:themeColor="text1"/>
          <w:sz w:val="22"/>
        </w:rPr>
      </w:pPr>
      <w:r w:rsidRPr="00297F91">
        <w:rPr>
          <w:rFonts w:asciiTheme="minorHAnsi" w:hAnsiTheme="minorHAnsi"/>
          <w:b/>
          <w:color w:val="000000" w:themeColor="text1"/>
          <w:sz w:val="22"/>
        </w:rPr>
        <w:t>Table S2: Univariate logistic regression models for maternal and paternal education, and other risk factors related to wasting in flooded and non-flooded children populations aged 6 to 59 months in rural Odisha, India.</w:t>
      </w:r>
    </w:p>
    <w:p w:rsidR="00E16D77" w:rsidRPr="00297F91" w:rsidRDefault="00E16D77" w:rsidP="00E16D77">
      <w:pPr>
        <w:pStyle w:val="TableTitle"/>
        <w:rPr>
          <w:rFonts w:asciiTheme="minorHAnsi" w:hAnsiTheme="minorHAnsi"/>
          <w:sz w:val="22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20"/>
        <w:gridCol w:w="3946"/>
        <w:gridCol w:w="1683"/>
        <w:gridCol w:w="759"/>
        <w:gridCol w:w="1683"/>
        <w:gridCol w:w="759"/>
      </w:tblGrid>
      <w:tr w:rsidR="00E16D77" w:rsidRPr="00297F91" w:rsidTr="000339E6">
        <w:trPr>
          <w:trHeight w:val="288"/>
        </w:trPr>
        <w:tc>
          <w:tcPr>
            <w:tcW w:w="288" w:type="pct"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Flooded (</w:t>
            </w:r>
            <w:r w:rsidRPr="00297F91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 xml:space="preserve"> = 299)</w:t>
            </w:r>
          </w:p>
        </w:tc>
        <w:tc>
          <w:tcPr>
            <w:tcW w:w="1294" w:type="pct"/>
            <w:gridSpan w:val="2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Non-flooded (</w:t>
            </w:r>
            <w:r w:rsidRPr="00297F91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</w:rPr>
              <w:t>n</w:t>
            </w: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 xml:space="preserve"> = 385)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PR (95% CI)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PR (95% CI)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Mother age at marriage (years)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0.960 (0.915, 1.006)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0.973 (0.871, 1.086)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Mother age at first delivery (years)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0.963 (0.920, 1.010)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0.964 (0.873, 1.065)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Mother age at birth of selected child (years)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0.964 (0.931, 0.999)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0.983 (0.932, 1.037)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Maternal education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schooling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Primary school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0.789 (0.450, 1.383)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0.994 (0.451, 2.190)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0.988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Middle school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1.084 (0.669, 1.758)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0.418 (0.166, 1.052)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0.065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0.899 (0.536, 1.508)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0.415 (0.176, 0.977)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0.045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College or more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0.872 (0.483, 1.574)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0.866 (0.310, 2.429)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0.785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Father age at birth of selected child (years)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0.993 (0.962, 1.024)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0.964 (0.920, 1.012)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Paternal education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schooling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Primary school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0.813 (0.458, 1.444)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0.310 (0.125, 0.750)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0.010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Middle school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0.623 (0.366, 1.060)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0.318 (0.140, 0.725)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0.007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High school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0.786 (0.470, 1.313)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0.340 (0.160, 0.725)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0.005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College or more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0.587 (0.323, 1.066)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0.451 (0.198, 1.030)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0.060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Child sex (girl vs boy)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0.978 (0.756, 1.265)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0.736 (0.434, 1.248)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Child birthweight (per 100 g)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0.991 (0.957, 1.027)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0.966 (0.898, 1.040)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Child age (months)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1.000 (0.992, 1.009)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0.976 (0.957, 0.996)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Number of children (&lt; 5 years) eating from same kitchen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1.103 (0.950, 1.280)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0.972 (0.756, 1.251)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Means of livelihood (non-agricultural vs agricultural)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0.681 (0.529, 0.877)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0.750 (0.442, 1.273)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Religion (</w:t>
            </w:r>
            <w:proofErr w:type="spellStart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hindu</w:t>
            </w:r>
            <w:proofErr w:type="spellEnd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vs </w:t>
            </w:r>
            <w:proofErr w:type="spellStart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muslim</w:t>
            </w:r>
            <w:proofErr w:type="spellEnd"/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0.919 (0.692, 1.222)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1.126 (0.449, 2.826)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0.80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Caste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General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Other backward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1.406 (1.000, 1.975)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0.051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0.736 (0.371, 1.460)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Scheduled caste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1.117 (0.743, 1.680)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0.596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1.054 (0.500, 2.222)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0.89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 caste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1.240 (0.838, 1.835)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0.282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0.798 (0.278, 2.288)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Land owned (hectare)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0.955 (0.816, 1.117)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1.196 (0.809, 1.771)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 xml:space="preserve">Per head annual income (per 1,000 rupees) 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0.985 (0.964, 1.008)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0.998 (0.975, 1.022)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0.90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Livestock owned (none vs any)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1.039 (0.800, 1.349)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1.118 (0.665, 1.879)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</w:tr>
      <w:tr w:rsidR="00E16D77" w:rsidRPr="00297F91" w:rsidTr="000339E6">
        <w:trPr>
          <w:trHeight w:val="288"/>
        </w:trPr>
        <w:tc>
          <w:tcPr>
            <w:tcW w:w="2412" w:type="pct"/>
            <w:gridSpan w:val="2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Number of individuals eating from same kitchen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2-4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</w:tr>
      <w:tr w:rsidR="00E16D77" w:rsidRPr="00297F91" w:rsidTr="000339E6">
        <w:trPr>
          <w:trHeight w:val="288"/>
        </w:trPr>
        <w:tc>
          <w:tcPr>
            <w:tcW w:w="288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pct"/>
            <w:noWrap/>
            <w:hideMark/>
          </w:tcPr>
          <w:p w:rsidR="00E16D77" w:rsidRPr="00297F91" w:rsidRDefault="00E16D77" w:rsidP="000339E6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&gt;4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1.154 (0.805, 1.653)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889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1.710 (0.938, 3.116)</w:t>
            </w:r>
          </w:p>
        </w:tc>
        <w:tc>
          <w:tcPr>
            <w:tcW w:w="405" w:type="pct"/>
            <w:noWrap/>
            <w:hideMark/>
          </w:tcPr>
          <w:p w:rsidR="00E16D77" w:rsidRPr="00297F91" w:rsidRDefault="00E16D77" w:rsidP="000339E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297F91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</w:tr>
    </w:tbl>
    <w:p w:rsidR="00E16D77" w:rsidRPr="00297F91" w:rsidRDefault="00E16D77" w:rsidP="00E16D77">
      <w:pPr>
        <w:pStyle w:val="TableTitle"/>
        <w:rPr>
          <w:rFonts w:asciiTheme="minorHAnsi" w:hAnsiTheme="minorHAnsi"/>
          <w:sz w:val="22"/>
        </w:rPr>
      </w:pPr>
    </w:p>
    <w:p w:rsidR="00E16D77" w:rsidRPr="00297F91" w:rsidRDefault="00E16D77" w:rsidP="00E16D77">
      <w:pPr>
        <w:pStyle w:val="TableTitle"/>
        <w:rPr>
          <w:rFonts w:asciiTheme="minorHAnsi" w:hAnsiTheme="minorHAnsi"/>
          <w:sz w:val="20"/>
        </w:rPr>
      </w:pPr>
    </w:p>
    <w:p w:rsidR="00E16D77" w:rsidRPr="00297F91" w:rsidRDefault="00E16D77" w:rsidP="00E16D77">
      <w:pPr>
        <w:pStyle w:val="TableTitle"/>
        <w:rPr>
          <w:rFonts w:asciiTheme="minorHAnsi" w:hAnsiTheme="minorHAnsi"/>
          <w:b/>
          <w:sz w:val="22"/>
        </w:rPr>
      </w:pPr>
      <w:r w:rsidRPr="00297F91">
        <w:rPr>
          <w:rFonts w:asciiTheme="minorHAnsi" w:hAnsiTheme="minorHAnsi"/>
          <w:b/>
          <w:sz w:val="22"/>
        </w:rPr>
        <w:lastRenderedPageBreak/>
        <w:t xml:space="preserve">STROBE Statement—Checklist of items that should be included in reports of </w:t>
      </w:r>
      <w:r w:rsidRPr="00297F91">
        <w:rPr>
          <w:rFonts w:asciiTheme="minorHAnsi" w:hAnsiTheme="minorHAnsi"/>
          <w:b/>
          <w:i/>
          <w:sz w:val="22"/>
        </w:rPr>
        <w:t>cross-sectional studies</w:t>
      </w:r>
      <w:r w:rsidRPr="00297F91">
        <w:rPr>
          <w:rFonts w:asciiTheme="minorHAnsi" w:hAnsiTheme="minorHAnsi"/>
          <w:b/>
          <w:sz w:val="22"/>
        </w:rPr>
        <w:t xml:space="preserve"> </w:t>
      </w:r>
    </w:p>
    <w:p w:rsidR="00E16D77" w:rsidRPr="00297F91" w:rsidRDefault="00E16D77" w:rsidP="00E16D77">
      <w:pPr>
        <w:pStyle w:val="TableTitle"/>
        <w:rPr>
          <w:rFonts w:asciiTheme="minorHAnsi" w:hAnsiTheme="minorHAnsi"/>
          <w:b/>
          <w:sz w:val="22"/>
          <w:lang w:val="en-US"/>
        </w:rPr>
      </w:pPr>
      <w:r w:rsidRPr="00297F91">
        <w:rPr>
          <w:rFonts w:asciiTheme="minorHAnsi" w:hAnsiTheme="minorHAnsi"/>
          <w:b/>
          <w:sz w:val="22"/>
        </w:rPr>
        <w:t>Article Title: “Looking upstream: enhancers of child nutritional status in post-flood rural settings”.</w:t>
      </w:r>
    </w:p>
    <w:p w:rsidR="00E16D77" w:rsidRPr="00297F91" w:rsidRDefault="00E16D77" w:rsidP="00E16D77">
      <w:pPr>
        <w:pStyle w:val="TableTitle"/>
        <w:rPr>
          <w:rFonts w:asciiTheme="minorHAnsi" w:hAnsiTheme="minorHAns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965"/>
        <w:gridCol w:w="6422"/>
      </w:tblGrid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E16D77" w:rsidRPr="00297F91" w:rsidRDefault="00E16D77" w:rsidP="000339E6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7F91">
              <w:rPr>
                <w:rFonts w:asciiTheme="minorHAnsi" w:hAnsiTheme="minorHAnsi"/>
                <w:bCs/>
                <w:sz w:val="18"/>
                <w:szCs w:val="18"/>
              </w:rPr>
              <w:t>Item No</w:t>
            </w:r>
          </w:p>
        </w:tc>
        <w:tc>
          <w:tcPr>
            <w:tcW w:w="0" w:type="auto"/>
            <w:vAlign w:val="bottom"/>
          </w:tcPr>
          <w:p w:rsidR="00E16D77" w:rsidRPr="00297F91" w:rsidRDefault="00E16D77" w:rsidP="000339E6">
            <w:pPr>
              <w:pStyle w:val="TableHeader"/>
              <w:tabs>
                <w:tab w:val="left" w:pos="540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7F91">
              <w:rPr>
                <w:rFonts w:asciiTheme="minorHAnsi" w:hAnsiTheme="minorHAnsi"/>
                <w:bCs/>
                <w:sz w:val="18"/>
                <w:szCs w:val="18"/>
              </w:rPr>
              <w:t>Recommendation</w:t>
            </w:r>
          </w:p>
        </w:tc>
      </w:tr>
      <w:tr w:rsidR="00E16D77" w:rsidRPr="00297F91" w:rsidTr="000339E6"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/>
                <w:bCs/>
                <w:sz w:val="18"/>
                <w:szCs w:val="18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97F91">
              <w:rPr>
                <w:rFonts w:cs="Times New Roman"/>
                <w:b/>
                <w:sz w:val="18"/>
                <w:szCs w:val="18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p1-2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a</w:t>
            </w:r>
            <w:r w:rsidRPr="00297F91">
              <w:rPr>
                <w:rFonts w:cs="Times New Roman"/>
                <w:sz w:val="18"/>
                <w:szCs w:val="18"/>
              </w:rPr>
              <w:t>) Indicate the study’s design with a commonly used term in the title or the abstract (NOT DONE, not required by the Journal)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b</w:t>
            </w:r>
            <w:r w:rsidRPr="00297F91">
              <w:rPr>
                <w:rFonts w:cs="Times New Roman"/>
                <w:sz w:val="18"/>
                <w:szCs w:val="18"/>
              </w:rPr>
              <w:t>) Provide in the abstract an informative and balanced summary of what was done and what was found</w:t>
            </w:r>
          </w:p>
        </w:tc>
      </w:tr>
      <w:tr w:rsidR="00E16D77" w:rsidRPr="00297F91" w:rsidTr="000339E6">
        <w:tc>
          <w:tcPr>
            <w:tcW w:w="0" w:type="auto"/>
            <w:gridSpan w:val="3"/>
          </w:tcPr>
          <w:p w:rsidR="00E16D77" w:rsidRPr="00297F91" w:rsidRDefault="00E16D77" w:rsidP="000339E6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18"/>
                <w:szCs w:val="18"/>
              </w:rPr>
            </w:pPr>
            <w:bookmarkStart w:id="13" w:name="bold7"/>
            <w:bookmarkStart w:id="14" w:name="italic8"/>
            <w:bookmarkEnd w:id="11"/>
            <w:bookmarkEnd w:id="12"/>
            <w:r w:rsidRPr="00297F91">
              <w:rPr>
                <w:rFonts w:asciiTheme="minorHAnsi" w:hAnsiTheme="minorHAnsi"/>
                <w:sz w:val="18"/>
                <w:szCs w:val="18"/>
              </w:rPr>
              <w:t>Introduction</w:t>
            </w:r>
            <w:bookmarkEnd w:id="13"/>
            <w:bookmarkEnd w:id="14"/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15" w:name="bold8"/>
            <w:bookmarkStart w:id="16" w:name="italic9"/>
            <w:r w:rsidRPr="00297F91">
              <w:rPr>
                <w:rFonts w:cs="Times New Roman"/>
                <w:bCs/>
                <w:sz w:val="18"/>
                <w:szCs w:val="18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97F91">
              <w:rPr>
                <w:rFonts w:cs="Times New Roman"/>
                <w:bCs/>
                <w:sz w:val="18"/>
                <w:szCs w:val="18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2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p3-4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Explain the scientific background and rationale for the investigation being reported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19" w:name="bold10" w:colFirst="0" w:colLast="0"/>
            <w:bookmarkStart w:id="20" w:name="italic11" w:colFirst="0" w:colLast="0"/>
            <w:r w:rsidRPr="00297F91">
              <w:rPr>
                <w:rFonts w:cs="Times New Roman"/>
                <w:bCs/>
                <w:sz w:val="18"/>
                <w:szCs w:val="18"/>
              </w:rPr>
              <w:t>Objectives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3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p4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 xml:space="preserve">State specific objectives, including any 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prespecified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hypotheses</w:t>
            </w:r>
          </w:p>
        </w:tc>
      </w:tr>
      <w:tr w:rsidR="00E16D77" w:rsidRPr="00297F91" w:rsidTr="000339E6">
        <w:tc>
          <w:tcPr>
            <w:tcW w:w="0" w:type="auto"/>
            <w:gridSpan w:val="3"/>
          </w:tcPr>
          <w:p w:rsidR="00E16D77" w:rsidRPr="00297F91" w:rsidRDefault="00E16D77" w:rsidP="000339E6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18"/>
                <w:szCs w:val="18"/>
              </w:rPr>
            </w:pPr>
            <w:bookmarkStart w:id="21" w:name="bold11"/>
            <w:bookmarkStart w:id="22" w:name="italic12"/>
            <w:bookmarkEnd w:id="19"/>
            <w:bookmarkEnd w:id="20"/>
            <w:r w:rsidRPr="00297F91">
              <w:rPr>
                <w:rFonts w:asciiTheme="minorHAnsi" w:hAnsiTheme="minorHAnsi"/>
                <w:sz w:val="18"/>
                <w:szCs w:val="18"/>
              </w:rPr>
              <w:t>Methods</w:t>
            </w:r>
            <w:bookmarkEnd w:id="21"/>
            <w:bookmarkEnd w:id="22"/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23" w:name="bold12" w:colFirst="0" w:colLast="0"/>
            <w:bookmarkStart w:id="24" w:name="italic13" w:colFirst="0" w:colLast="0"/>
            <w:r w:rsidRPr="00297F91">
              <w:rPr>
                <w:rFonts w:cs="Times New Roman"/>
                <w:bCs/>
                <w:sz w:val="18"/>
                <w:szCs w:val="18"/>
              </w:rPr>
              <w:t>Study design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4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p4-5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Present key elements of study design early in the paper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97F91">
              <w:rPr>
                <w:rFonts w:cs="Times New Roman"/>
                <w:bCs/>
                <w:sz w:val="18"/>
                <w:szCs w:val="18"/>
              </w:rPr>
              <w:t>Setting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5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p6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Describe the setting, locations, and relevant dates, including periods of recruitment, exposure, follow-up, and data collection</w:t>
            </w:r>
          </w:p>
        </w:tc>
      </w:tr>
      <w:bookmarkEnd w:id="25"/>
      <w:bookmarkEnd w:id="26"/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r w:rsidRPr="00297F91">
              <w:rPr>
                <w:rFonts w:cs="Times New Roman"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6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p4-6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a</w:t>
            </w:r>
            <w:r w:rsidRPr="00297F91">
              <w:rPr>
                <w:rFonts w:cs="Times New Roman"/>
                <w:sz w:val="18"/>
                <w:szCs w:val="18"/>
              </w:rPr>
              <w:t>) Give the eligibility criteria, and the sources and methods of selection of participants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27" w:name="bold16" w:colFirst="0" w:colLast="0"/>
            <w:bookmarkStart w:id="28" w:name="italic17" w:colFirst="0" w:colLast="0"/>
            <w:r w:rsidRPr="00297F91">
              <w:rPr>
                <w:rFonts w:cs="Times New Roman"/>
                <w:bCs/>
                <w:sz w:val="18"/>
                <w:szCs w:val="18"/>
              </w:rPr>
              <w:t>Variables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7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p7-9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Clearly define all outcomes, exposures, predictors, potential confounders, and effect modifiers. Give diagnostic criteria, if applicable</w:t>
            </w:r>
          </w:p>
        </w:tc>
      </w:tr>
      <w:tr w:rsidR="00E16D77" w:rsidRPr="00297F91" w:rsidTr="000339E6">
        <w:trPr>
          <w:trHeight w:val="294"/>
        </w:trPr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29" w:name="bold17"/>
            <w:bookmarkStart w:id="30" w:name="italic18"/>
            <w:bookmarkEnd w:id="27"/>
            <w:bookmarkEnd w:id="28"/>
            <w:r w:rsidRPr="00297F91">
              <w:rPr>
                <w:rFonts w:cs="Times New Roman"/>
                <w:bCs/>
                <w:sz w:val="18"/>
                <w:szCs w:val="18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297F91">
              <w:rPr>
                <w:rFonts w:cs="Times New Roman"/>
                <w:bCs/>
                <w:sz w:val="18"/>
                <w:szCs w:val="18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8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p7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297F91">
              <w:rPr>
                <w:rFonts w:cs="Times New Roman"/>
                <w:sz w:val="18"/>
                <w:szCs w:val="18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color w:val="000000"/>
                <w:sz w:val="18"/>
                <w:szCs w:val="18"/>
              </w:rPr>
            </w:pPr>
            <w:bookmarkStart w:id="33" w:name="bold20" w:colFirst="0" w:colLast="0"/>
            <w:bookmarkStart w:id="34" w:name="italic20" w:colFirst="0" w:colLast="0"/>
            <w:r w:rsidRPr="00297F91">
              <w:rPr>
                <w:rFonts w:cs="Times New Roman"/>
                <w:bCs/>
                <w:color w:val="000000"/>
                <w:sz w:val="18"/>
                <w:szCs w:val="18"/>
              </w:rPr>
              <w:t>Bias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9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p9-10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297F91">
              <w:rPr>
                <w:rFonts w:cs="Times New Roman"/>
                <w:color w:val="000000"/>
                <w:sz w:val="18"/>
                <w:szCs w:val="18"/>
              </w:rPr>
              <w:t>Describe any efforts to address potential sources of bias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35" w:name="bold21" w:colFirst="0" w:colLast="0"/>
            <w:bookmarkStart w:id="36" w:name="italic21" w:colFirst="0" w:colLast="0"/>
            <w:bookmarkEnd w:id="33"/>
            <w:bookmarkEnd w:id="34"/>
            <w:r w:rsidRPr="00297F91">
              <w:rPr>
                <w:rFonts w:cs="Times New Roman"/>
                <w:bCs/>
                <w:sz w:val="18"/>
                <w:szCs w:val="18"/>
              </w:rPr>
              <w:t>Study size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10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Explain how the study size was arrived at (NOT DONE as the study used existing data)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37" w:name="bold22"/>
            <w:bookmarkStart w:id="38" w:name="italic22"/>
            <w:bookmarkEnd w:id="35"/>
            <w:bookmarkEnd w:id="36"/>
            <w:r w:rsidRPr="00297F91">
              <w:rPr>
                <w:rFonts w:cs="Times New Roman"/>
                <w:bCs/>
                <w:sz w:val="18"/>
                <w:szCs w:val="18"/>
              </w:rPr>
              <w:t>Quantitative</w:t>
            </w:r>
            <w:bookmarkStart w:id="39" w:name="bold23"/>
            <w:bookmarkStart w:id="40" w:name="italic23"/>
            <w:bookmarkEnd w:id="37"/>
            <w:bookmarkEnd w:id="38"/>
            <w:r w:rsidRPr="00297F91">
              <w:rPr>
                <w:rFonts w:cs="Times New Roman"/>
                <w:bCs/>
                <w:sz w:val="18"/>
                <w:szCs w:val="18"/>
              </w:rPr>
              <w:t xml:space="preserve"> variables</w:t>
            </w:r>
            <w:bookmarkEnd w:id="39"/>
            <w:bookmarkEnd w:id="40"/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11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p7-8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Explain how quantitative variables were handled in the analyses. If applicable, describe which groupings were chosen and why</w:t>
            </w:r>
          </w:p>
        </w:tc>
      </w:tr>
      <w:tr w:rsidR="00E16D77" w:rsidRPr="00297F91" w:rsidTr="000339E6"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bookmarkStart w:id="41" w:name="italic24"/>
            <w:r w:rsidRPr="00297F91">
              <w:rPr>
                <w:rFonts w:cs="Times New Roman"/>
                <w:sz w:val="18"/>
                <w:szCs w:val="18"/>
              </w:rPr>
              <w:t>Statistical</w:t>
            </w:r>
            <w:bookmarkStart w:id="42" w:name="italic25"/>
            <w:bookmarkEnd w:id="41"/>
            <w:r w:rsidRPr="00297F91">
              <w:rPr>
                <w:rFonts w:cs="Times New Roman"/>
                <w:sz w:val="18"/>
                <w:szCs w:val="18"/>
              </w:rPr>
              <w:t xml:space="preserve"> methods</w:t>
            </w:r>
            <w:bookmarkEnd w:id="42"/>
          </w:p>
        </w:tc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12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p9-10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a</w:t>
            </w:r>
            <w:r w:rsidRPr="00297F91">
              <w:rPr>
                <w:rFonts w:cs="Times New Roman"/>
                <w:sz w:val="18"/>
                <w:szCs w:val="18"/>
              </w:rPr>
              <w:t>) Describe all statistical methods, including those used to control for confounding (OK)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43" w:name="bold24" w:colFirst="0" w:colLast="0"/>
            <w:bookmarkStart w:id="44" w:name="italic26" w:colFirst="0" w:colLast="0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b</w:t>
            </w:r>
            <w:r w:rsidRPr="00297F91">
              <w:rPr>
                <w:rFonts w:cs="Times New Roman"/>
                <w:sz w:val="18"/>
                <w:szCs w:val="18"/>
              </w:rPr>
              <w:t>) Describe any methods used to examine subgroups and interactions (OK)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45" w:name="bold25" w:colFirst="0" w:colLast="0"/>
            <w:bookmarkStart w:id="46" w:name="italic27" w:colFirst="0" w:colLast="0"/>
            <w:bookmarkEnd w:id="43"/>
            <w:bookmarkEnd w:id="44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B1099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c</w:t>
            </w:r>
            <w:r w:rsidRPr="00297F91">
              <w:rPr>
                <w:rFonts w:cs="Times New Roman"/>
                <w:sz w:val="18"/>
                <w:szCs w:val="18"/>
              </w:rPr>
              <w:t>) Explain how missing data were addressed (they were rare,</w:t>
            </w:r>
            <w:r w:rsidR="00B10993" w:rsidRPr="00297F91">
              <w:rPr>
                <w:rFonts w:cs="Times New Roman"/>
                <w:sz w:val="18"/>
                <w:szCs w:val="18"/>
              </w:rPr>
              <w:t xml:space="preserve"> no need to be addressed</w:t>
            </w:r>
            <w:r w:rsidRPr="00297F91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47" w:name="bold26" w:colFirst="0" w:colLast="0"/>
            <w:bookmarkStart w:id="48" w:name="italic28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d</w:t>
            </w:r>
            <w:r w:rsidRPr="00297F91">
              <w:rPr>
                <w:rFonts w:cs="Times New Roman"/>
                <w:sz w:val="18"/>
                <w:szCs w:val="18"/>
              </w:rPr>
              <w:t>) If applicable, describe analytical methods taking account of sampling strategy (DONE)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49" w:name="bold27" w:colFirst="0" w:colLast="0"/>
            <w:bookmarkStart w:id="50" w:name="italic29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  <w:u w:val="single"/>
              </w:rPr>
              <w:t>e</w:t>
            </w:r>
            <w:r w:rsidRPr="00297F91">
              <w:rPr>
                <w:rFonts w:cs="Times New Roman"/>
                <w:sz w:val="18"/>
                <w:szCs w:val="18"/>
              </w:rPr>
              <w:t>) Describe any sensitivity analyses (small sample, NOT DONE)</w:t>
            </w:r>
          </w:p>
        </w:tc>
      </w:tr>
      <w:tr w:rsidR="00E16D77" w:rsidRPr="00297F91" w:rsidTr="000339E6">
        <w:tc>
          <w:tcPr>
            <w:tcW w:w="0" w:type="auto"/>
            <w:gridSpan w:val="3"/>
          </w:tcPr>
          <w:p w:rsidR="00E16D77" w:rsidRPr="00297F91" w:rsidRDefault="00E16D77" w:rsidP="000339E6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18"/>
                <w:szCs w:val="18"/>
              </w:rPr>
            </w:pPr>
            <w:bookmarkStart w:id="51" w:name="bold28"/>
            <w:bookmarkStart w:id="52" w:name="italic30"/>
            <w:bookmarkEnd w:id="49"/>
            <w:bookmarkEnd w:id="50"/>
            <w:r w:rsidRPr="00297F91">
              <w:rPr>
                <w:rFonts w:asciiTheme="minorHAnsi" w:hAnsiTheme="minorHAnsi"/>
                <w:sz w:val="18"/>
                <w:szCs w:val="18"/>
              </w:rPr>
              <w:t>Results</w:t>
            </w:r>
            <w:bookmarkEnd w:id="51"/>
            <w:bookmarkEnd w:id="52"/>
          </w:p>
        </w:tc>
      </w:tr>
      <w:tr w:rsidR="00E16D77" w:rsidRPr="00297F91" w:rsidTr="000339E6"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53" w:name="bold29"/>
            <w:bookmarkStart w:id="54" w:name="italic31"/>
            <w:r w:rsidRPr="00297F91">
              <w:rPr>
                <w:rFonts w:cs="Times New Roman"/>
                <w:bCs/>
                <w:sz w:val="18"/>
                <w:szCs w:val="18"/>
              </w:rPr>
              <w:t>Participants</w:t>
            </w:r>
            <w:bookmarkEnd w:id="53"/>
            <w:bookmarkEnd w:id="54"/>
          </w:p>
        </w:tc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13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bCs/>
                <w:sz w:val="18"/>
                <w:szCs w:val="18"/>
              </w:rPr>
              <w:t>p10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(a) Report numbers of individuals at each stage of study—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eg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analysed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– Fig 2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55" w:name="bold31" w:colFirst="0" w:colLast="0"/>
            <w:bookmarkStart w:id="56" w:name="italic32" w:colFirst="0" w:colLast="0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 xml:space="preserve">(b) Give reasons for non-participation at each stage 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  <w:r w:rsidRPr="00297F91">
              <w:rPr>
                <w:rFonts w:cs="Times New Roman"/>
                <w:bCs/>
                <w:sz w:val="18"/>
                <w:szCs w:val="18"/>
              </w:rPr>
              <w:t xml:space="preserve"> Fig 2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57" w:name="bold32" w:colFirst="0" w:colLast="0"/>
            <w:bookmarkStart w:id="58" w:name="italic33" w:colFirst="0" w:colLast="0"/>
            <w:bookmarkEnd w:id="55"/>
            <w:bookmarkEnd w:id="56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bookmarkStart w:id="59" w:name="OLE_LINK4"/>
            <w:r w:rsidRPr="00297F91">
              <w:rPr>
                <w:rFonts w:cs="Times New Roman"/>
                <w:sz w:val="18"/>
                <w:szCs w:val="18"/>
              </w:rPr>
              <w:t>(c) Consider use of a flow diagram</w:t>
            </w:r>
            <w:bookmarkEnd w:id="59"/>
            <w:r w:rsidRPr="00297F91">
              <w:rPr>
                <w:rFonts w:cs="Times New Roman"/>
                <w:sz w:val="18"/>
                <w:szCs w:val="18"/>
              </w:rPr>
              <w:t xml:space="preserve"> 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  <w:r w:rsidRPr="00297F91">
              <w:rPr>
                <w:rFonts w:cs="Times New Roman"/>
                <w:bCs/>
                <w:sz w:val="18"/>
                <w:szCs w:val="18"/>
              </w:rPr>
              <w:t xml:space="preserve"> Fig 2</w:t>
            </w:r>
          </w:p>
        </w:tc>
      </w:tr>
      <w:tr w:rsidR="00E16D77" w:rsidRPr="00297F91" w:rsidTr="000339E6"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60" w:name="bold33"/>
            <w:bookmarkStart w:id="61" w:name="italic34"/>
            <w:bookmarkEnd w:id="57"/>
            <w:bookmarkEnd w:id="58"/>
            <w:r w:rsidRPr="00297F91">
              <w:rPr>
                <w:rFonts w:cs="Times New Roman"/>
                <w:bCs/>
                <w:sz w:val="18"/>
                <w:szCs w:val="18"/>
              </w:rPr>
              <w:t xml:space="preserve">Descriptive </w:t>
            </w:r>
            <w:bookmarkStart w:id="62" w:name="bold34"/>
            <w:bookmarkStart w:id="63" w:name="italic35"/>
            <w:bookmarkEnd w:id="60"/>
            <w:bookmarkEnd w:id="61"/>
            <w:r w:rsidRPr="00297F91">
              <w:rPr>
                <w:rFonts w:cs="Times New Roman"/>
                <w:bCs/>
                <w:sz w:val="18"/>
                <w:szCs w:val="18"/>
              </w:rPr>
              <w:t>data</w:t>
            </w:r>
            <w:bookmarkEnd w:id="62"/>
            <w:bookmarkEnd w:id="63"/>
          </w:p>
        </w:tc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14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bCs/>
                <w:sz w:val="18"/>
                <w:szCs w:val="18"/>
              </w:rPr>
              <w:t>p10, table 1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(a) Give characteristics of study participants (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eg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demographic, clinical, social) and information on exposures and potential confounders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64" w:name="bold36" w:colFirst="0" w:colLast="0"/>
            <w:bookmarkStart w:id="65" w:name="italic36" w:colFirst="0" w:colLast="0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(b) Indicate number of participants with missing data for each variable of interest</w:t>
            </w:r>
          </w:p>
        </w:tc>
      </w:tr>
      <w:tr w:rsidR="00E16D77" w:rsidRPr="00297F91" w:rsidTr="000339E6">
        <w:trPr>
          <w:trHeight w:val="295"/>
        </w:trPr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66" w:name="bold38" w:colFirst="0" w:colLast="0"/>
            <w:bookmarkStart w:id="67" w:name="italic38" w:colFirst="0" w:colLast="0"/>
            <w:bookmarkEnd w:id="64"/>
            <w:bookmarkEnd w:id="65"/>
            <w:r w:rsidRPr="00297F91">
              <w:rPr>
                <w:rFonts w:cs="Times New Roman"/>
                <w:bCs/>
                <w:sz w:val="18"/>
                <w:szCs w:val="18"/>
              </w:rPr>
              <w:t>Outcome data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15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bCs/>
                <w:sz w:val="18"/>
                <w:szCs w:val="18"/>
              </w:rPr>
              <w:t>p10, table1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Report numbers of outcome events or summary measures</w:t>
            </w:r>
          </w:p>
        </w:tc>
      </w:tr>
      <w:tr w:rsidR="00E16D77" w:rsidRPr="00297F91" w:rsidTr="000339E6"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68" w:name="italic40" w:colFirst="0" w:colLast="0"/>
            <w:bookmarkStart w:id="69" w:name="bold41" w:colFirst="0" w:colLast="0"/>
            <w:bookmarkEnd w:id="66"/>
            <w:bookmarkEnd w:id="67"/>
            <w:r w:rsidRPr="00297F91">
              <w:rPr>
                <w:rFonts w:cs="Times New Roman"/>
                <w:bCs/>
                <w:sz w:val="18"/>
                <w:szCs w:val="18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16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p13-17, table2-3</w:t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a</w:t>
            </w:r>
            <w:r w:rsidRPr="00297F91">
              <w:rPr>
                <w:rFonts w:cs="Times New Roman"/>
                <w:sz w:val="18"/>
                <w:szCs w:val="18"/>
              </w:rPr>
              <w:t>) Give unadjusted estimates and, if applicable, confounder-adjusted estimates and their precision (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eg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, 95% confidence interval). Make clear which confounders were adjusted for and why they were included 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  <w:r w:rsidRPr="00297F91">
              <w:rPr>
                <w:rFonts w:cs="Times New Roman"/>
                <w:sz w:val="18"/>
                <w:szCs w:val="18"/>
              </w:rPr>
              <w:t xml:space="preserve"> Fig. 3-4</w:t>
            </w:r>
          </w:p>
        </w:tc>
      </w:tr>
      <w:tr w:rsidR="00E16D77" w:rsidRPr="00297F91" w:rsidTr="000339E6"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70" w:name="italic41" w:colFirst="0" w:colLast="0"/>
            <w:bookmarkStart w:id="71" w:name="bold42" w:colFirst="0" w:colLast="0"/>
            <w:bookmarkEnd w:id="68"/>
            <w:bookmarkEnd w:id="69"/>
          </w:p>
        </w:tc>
        <w:tc>
          <w:tcPr>
            <w:tcW w:w="0" w:type="auto"/>
            <w:vMerge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b</w:t>
            </w:r>
            <w:r w:rsidRPr="00297F91">
              <w:rPr>
                <w:rFonts w:cs="Times New Roman"/>
                <w:sz w:val="18"/>
                <w:szCs w:val="18"/>
              </w:rPr>
              <w:t xml:space="preserve">) Report category boundaries when continuous variables were categorized </w:t>
            </w:r>
            <w:r w:rsidRPr="00297F91">
              <w:rPr>
                <w:rFonts w:cs="Times New Roman"/>
                <w:bCs/>
                <w:sz w:val="18"/>
                <w:szCs w:val="18"/>
              </w:rPr>
              <w:sym w:font="Wingdings 2" w:char="F050"/>
            </w:r>
          </w:p>
        </w:tc>
      </w:tr>
      <w:tr w:rsidR="00E16D77" w:rsidRPr="00297F91" w:rsidTr="000339E6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72" w:name="italic42" w:colFirst="0" w:colLast="0"/>
            <w:bookmarkStart w:id="73" w:name="bold43" w:colFirst="0" w:colLast="0"/>
            <w:bookmarkEnd w:id="70"/>
            <w:bookmarkEnd w:id="71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(</w:t>
            </w:r>
            <w:r w:rsidRPr="00297F91">
              <w:rPr>
                <w:rFonts w:cs="Times New Roman"/>
                <w:i/>
                <w:sz w:val="18"/>
                <w:szCs w:val="18"/>
              </w:rPr>
              <w:t>c</w:t>
            </w:r>
            <w:r w:rsidRPr="00297F91">
              <w:rPr>
                <w:rFonts w:cs="Times New Roman"/>
                <w:sz w:val="18"/>
                <w:szCs w:val="18"/>
              </w:rPr>
              <w:t xml:space="preserve">) If relevant, consider translating estimates of relative risk into absolute risk for a meaningful time period </w:t>
            </w:r>
          </w:p>
        </w:tc>
      </w:tr>
      <w:tr w:rsidR="00E16D77" w:rsidRPr="00297F91" w:rsidTr="000339E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74" w:name="italic43"/>
            <w:bookmarkStart w:id="75" w:name="bold44"/>
            <w:bookmarkEnd w:id="72"/>
            <w:bookmarkEnd w:id="73"/>
            <w:r w:rsidRPr="00297F91">
              <w:rPr>
                <w:rFonts w:cs="Times New Roman"/>
                <w:bCs/>
                <w:sz w:val="18"/>
                <w:szCs w:val="18"/>
              </w:rPr>
              <w:t>Other analyses</w:t>
            </w:r>
            <w:bookmarkEnd w:id="74"/>
            <w:bookmarkEnd w:id="75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17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Report other analyses done—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eg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analyses of subgroups and interactions, and sensitivity analyses</w:t>
            </w:r>
          </w:p>
        </w:tc>
      </w:tr>
      <w:tr w:rsidR="00E16D77" w:rsidRPr="00297F91" w:rsidTr="000339E6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16D77" w:rsidRPr="00297F91" w:rsidRDefault="00E16D77" w:rsidP="000339E6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18"/>
                <w:szCs w:val="18"/>
              </w:rPr>
            </w:pPr>
            <w:bookmarkStart w:id="76" w:name="italic44"/>
            <w:bookmarkStart w:id="77" w:name="bold45"/>
            <w:r w:rsidRPr="00297F91">
              <w:rPr>
                <w:rFonts w:asciiTheme="minorHAnsi" w:hAnsiTheme="minorHAnsi"/>
                <w:sz w:val="18"/>
                <w:szCs w:val="18"/>
              </w:rPr>
              <w:t>Discussion</w:t>
            </w:r>
            <w:bookmarkEnd w:id="76"/>
            <w:bookmarkEnd w:id="77"/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78" w:name="italic45" w:colFirst="0" w:colLast="0"/>
            <w:bookmarkStart w:id="79" w:name="bold46" w:colFirst="0" w:colLast="0"/>
            <w:r w:rsidRPr="00297F91">
              <w:rPr>
                <w:rFonts w:cs="Times New Roman"/>
                <w:bCs/>
                <w:sz w:val="18"/>
                <w:szCs w:val="18"/>
              </w:rPr>
              <w:t>Key results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18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p18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proofErr w:type="spellStart"/>
            <w:r w:rsidRPr="00297F91">
              <w:rPr>
                <w:rFonts w:cs="Times New Roman"/>
                <w:sz w:val="18"/>
                <w:szCs w:val="18"/>
              </w:rPr>
              <w:t>Summarise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key results with reference to study objectives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80" w:name="italic46" w:colFirst="0" w:colLast="0"/>
            <w:bookmarkStart w:id="81" w:name="bold47" w:colFirst="0" w:colLast="0"/>
            <w:bookmarkEnd w:id="78"/>
            <w:bookmarkEnd w:id="79"/>
            <w:r w:rsidRPr="00297F91">
              <w:rPr>
                <w:rFonts w:cs="Times New Roman"/>
                <w:bCs/>
                <w:sz w:val="18"/>
                <w:szCs w:val="18"/>
              </w:rPr>
              <w:t>Limitations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19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P20-21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Discuss limitations of the study, taking into account sources of potential bias or imprecision. Discuss both direction and magnitude of any potential bias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82" w:name="italic47" w:colFirst="0" w:colLast="0"/>
            <w:bookmarkStart w:id="83" w:name="bold48" w:colFirst="0" w:colLast="0"/>
            <w:bookmarkEnd w:id="80"/>
            <w:bookmarkEnd w:id="81"/>
            <w:r w:rsidRPr="00297F91">
              <w:rPr>
                <w:rFonts w:cs="Times New Roman"/>
                <w:bCs/>
                <w:sz w:val="18"/>
                <w:szCs w:val="18"/>
              </w:rPr>
              <w:t>Interpretation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20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 xml:space="preserve">p20-21 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E16D77" w:rsidRPr="00297F91" w:rsidTr="000339E6"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84" w:name="italic48" w:colFirst="0" w:colLast="0"/>
            <w:bookmarkStart w:id="85" w:name="bold49" w:colFirst="0" w:colLast="0"/>
            <w:bookmarkEnd w:id="82"/>
            <w:bookmarkEnd w:id="83"/>
            <w:proofErr w:type="spellStart"/>
            <w:r w:rsidRPr="00297F91">
              <w:rPr>
                <w:rFonts w:cs="Times New Roman"/>
                <w:bCs/>
                <w:sz w:val="18"/>
                <w:szCs w:val="18"/>
              </w:rPr>
              <w:t>Generalisability</w:t>
            </w:r>
            <w:proofErr w:type="spellEnd"/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21</w:t>
            </w:r>
            <w:r w:rsidRPr="00297F91">
              <w:rPr>
                <w:rFonts w:cs="Times New Roman"/>
                <w:sz w:val="18"/>
                <w:szCs w:val="18"/>
              </w:rPr>
              <w:sym w:font="Wingdings 2" w:char="F050"/>
            </w:r>
          </w:p>
          <w:p w:rsidR="00E16D77" w:rsidRPr="00297F91" w:rsidRDefault="00E16D77" w:rsidP="00E16D77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p21</w:t>
            </w:r>
          </w:p>
        </w:tc>
        <w:tc>
          <w:tcPr>
            <w:tcW w:w="0" w:type="auto"/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 xml:space="preserve">Discuss the </w:t>
            </w:r>
            <w:proofErr w:type="spellStart"/>
            <w:r w:rsidRPr="00297F91">
              <w:rPr>
                <w:rFonts w:cs="Times New Roman"/>
                <w:sz w:val="18"/>
                <w:szCs w:val="18"/>
              </w:rPr>
              <w:t>generalisability</w:t>
            </w:r>
            <w:proofErr w:type="spellEnd"/>
            <w:r w:rsidRPr="00297F91">
              <w:rPr>
                <w:rFonts w:cs="Times New Roman"/>
                <w:sz w:val="18"/>
                <w:szCs w:val="18"/>
              </w:rPr>
              <w:t xml:space="preserve"> (external validity) of the study results</w:t>
            </w:r>
          </w:p>
        </w:tc>
      </w:tr>
      <w:tr w:rsidR="00E16D77" w:rsidRPr="00297F91" w:rsidTr="000339E6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16D77" w:rsidRPr="00297F91" w:rsidRDefault="00E16D77" w:rsidP="000339E6">
            <w:pPr>
              <w:pStyle w:val="TableSubHead"/>
              <w:tabs>
                <w:tab w:val="left" w:pos="5400"/>
              </w:tabs>
              <w:rPr>
                <w:rFonts w:asciiTheme="minorHAnsi" w:hAnsiTheme="minorHAnsi"/>
                <w:sz w:val="18"/>
                <w:szCs w:val="18"/>
              </w:rPr>
            </w:pPr>
            <w:bookmarkStart w:id="86" w:name="italic49"/>
            <w:bookmarkStart w:id="87" w:name="bold50"/>
            <w:bookmarkEnd w:id="84"/>
            <w:bookmarkEnd w:id="85"/>
            <w:r w:rsidRPr="00297F91">
              <w:rPr>
                <w:rFonts w:asciiTheme="minorHAnsi" w:hAnsiTheme="minorHAnsi"/>
                <w:sz w:val="18"/>
                <w:szCs w:val="18"/>
              </w:rPr>
              <w:t>Other information</w:t>
            </w:r>
            <w:bookmarkEnd w:id="86"/>
            <w:bookmarkEnd w:id="87"/>
          </w:p>
        </w:tc>
      </w:tr>
      <w:tr w:rsidR="00E16D77" w:rsidRPr="008147DB" w:rsidTr="000339E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6D77" w:rsidRPr="00297F91" w:rsidRDefault="00E16D77" w:rsidP="000339E6">
            <w:pPr>
              <w:tabs>
                <w:tab w:val="left" w:pos="5400"/>
              </w:tabs>
              <w:rPr>
                <w:rFonts w:cs="Times New Roman"/>
                <w:bCs/>
                <w:sz w:val="18"/>
                <w:szCs w:val="18"/>
              </w:rPr>
            </w:pPr>
            <w:bookmarkStart w:id="88" w:name="italic50" w:colFirst="0" w:colLast="0"/>
            <w:bookmarkStart w:id="89" w:name="bold51" w:colFirst="0" w:colLast="0"/>
            <w:r w:rsidRPr="00297F91">
              <w:rPr>
                <w:rFonts w:cs="Times New Roman"/>
                <w:bCs/>
                <w:sz w:val="18"/>
                <w:szCs w:val="18"/>
              </w:rPr>
              <w:lastRenderedPageBreak/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6D77" w:rsidRPr="00297F91" w:rsidRDefault="00E16D77" w:rsidP="00E16D77">
            <w:pPr>
              <w:tabs>
                <w:tab w:val="left" w:pos="540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22, p27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16D77" w:rsidRPr="008147DB" w:rsidRDefault="00E16D77" w:rsidP="000339E6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297F91">
              <w:rPr>
                <w:rFonts w:cs="Times New Roman"/>
                <w:sz w:val="18"/>
                <w:szCs w:val="18"/>
              </w:rPr>
              <w:t>Give the source of funding and the role of the funders for the present study and, if applicable, for the original study on which the present article is based</w:t>
            </w:r>
            <w:bookmarkStart w:id="90" w:name="_GoBack"/>
            <w:bookmarkEnd w:id="90"/>
          </w:p>
        </w:tc>
      </w:tr>
      <w:bookmarkEnd w:id="88"/>
      <w:bookmarkEnd w:id="89"/>
    </w:tbl>
    <w:p w:rsidR="00E140C7" w:rsidRDefault="00E140C7" w:rsidP="00E16D77"/>
    <w:sectPr w:rsidR="00E1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7"/>
    <w:rsid w:val="000008E5"/>
    <w:rsid w:val="00010B09"/>
    <w:rsid w:val="00010E40"/>
    <w:rsid w:val="000112A6"/>
    <w:rsid w:val="000120DC"/>
    <w:rsid w:val="000154B8"/>
    <w:rsid w:val="000174D7"/>
    <w:rsid w:val="00020197"/>
    <w:rsid w:val="000221C9"/>
    <w:rsid w:val="00025BE5"/>
    <w:rsid w:val="00032157"/>
    <w:rsid w:val="00034523"/>
    <w:rsid w:val="00034B8E"/>
    <w:rsid w:val="00037D5C"/>
    <w:rsid w:val="00037F60"/>
    <w:rsid w:val="00043139"/>
    <w:rsid w:val="000451A9"/>
    <w:rsid w:val="00050B5E"/>
    <w:rsid w:val="00051CE4"/>
    <w:rsid w:val="00053AE8"/>
    <w:rsid w:val="0005457E"/>
    <w:rsid w:val="000561F4"/>
    <w:rsid w:val="00057951"/>
    <w:rsid w:val="00064B5D"/>
    <w:rsid w:val="00066640"/>
    <w:rsid w:val="00066A83"/>
    <w:rsid w:val="000707C2"/>
    <w:rsid w:val="00076A56"/>
    <w:rsid w:val="00080144"/>
    <w:rsid w:val="00080E8E"/>
    <w:rsid w:val="00082985"/>
    <w:rsid w:val="000845AC"/>
    <w:rsid w:val="00086489"/>
    <w:rsid w:val="000911A9"/>
    <w:rsid w:val="00091600"/>
    <w:rsid w:val="000936A6"/>
    <w:rsid w:val="00096790"/>
    <w:rsid w:val="000970B7"/>
    <w:rsid w:val="00097B8C"/>
    <w:rsid w:val="000A01FF"/>
    <w:rsid w:val="000A6FB1"/>
    <w:rsid w:val="000A7165"/>
    <w:rsid w:val="000B572C"/>
    <w:rsid w:val="000C3C8D"/>
    <w:rsid w:val="000D10D8"/>
    <w:rsid w:val="000D48FE"/>
    <w:rsid w:val="000D6300"/>
    <w:rsid w:val="000E0DFD"/>
    <w:rsid w:val="000E45CC"/>
    <w:rsid w:val="000E52D3"/>
    <w:rsid w:val="000F03F0"/>
    <w:rsid w:val="000F3E8D"/>
    <w:rsid w:val="000F6AB3"/>
    <w:rsid w:val="00111164"/>
    <w:rsid w:val="00111C94"/>
    <w:rsid w:val="00113A3C"/>
    <w:rsid w:val="00115488"/>
    <w:rsid w:val="00116D55"/>
    <w:rsid w:val="00117235"/>
    <w:rsid w:val="001179F9"/>
    <w:rsid w:val="00122195"/>
    <w:rsid w:val="001236D4"/>
    <w:rsid w:val="00123CAB"/>
    <w:rsid w:val="00124185"/>
    <w:rsid w:val="00131C25"/>
    <w:rsid w:val="00132BE8"/>
    <w:rsid w:val="00133C4C"/>
    <w:rsid w:val="00135204"/>
    <w:rsid w:val="00155674"/>
    <w:rsid w:val="0015734E"/>
    <w:rsid w:val="00157E67"/>
    <w:rsid w:val="00162E6A"/>
    <w:rsid w:val="001630E2"/>
    <w:rsid w:val="001643C1"/>
    <w:rsid w:val="001652DA"/>
    <w:rsid w:val="00181F47"/>
    <w:rsid w:val="00181F98"/>
    <w:rsid w:val="0018768F"/>
    <w:rsid w:val="00195DD3"/>
    <w:rsid w:val="001A1B5B"/>
    <w:rsid w:val="001A7144"/>
    <w:rsid w:val="001B2CB7"/>
    <w:rsid w:val="001B44C8"/>
    <w:rsid w:val="001B701A"/>
    <w:rsid w:val="001B785F"/>
    <w:rsid w:val="001C0FDA"/>
    <w:rsid w:val="001C2279"/>
    <w:rsid w:val="001C233A"/>
    <w:rsid w:val="001D02A3"/>
    <w:rsid w:val="001D16C0"/>
    <w:rsid w:val="001D16CF"/>
    <w:rsid w:val="001D3B19"/>
    <w:rsid w:val="001D50F2"/>
    <w:rsid w:val="001D59B3"/>
    <w:rsid w:val="001D793D"/>
    <w:rsid w:val="001E1E56"/>
    <w:rsid w:val="001F20A4"/>
    <w:rsid w:val="001F5322"/>
    <w:rsid w:val="002007F1"/>
    <w:rsid w:val="0020318A"/>
    <w:rsid w:val="002134BA"/>
    <w:rsid w:val="002143D5"/>
    <w:rsid w:val="002155E7"/>
    <w:rsid w:val="00217330"/>
    <w:rsid w:val="00220591"/>
    <w:rsid w:val="00220833"/>
    <w:rsid w:val="00224E67"/>
    <w:rsid w:val="00227F40"/>
    <w:rsid w:val="002336DB"/>
    <w:rsid w:val="00236475"/>
    <w:rsid w:val="002379B3"/>
    <w:rsid w:val="00240856"/>
    <w:rsid w:val="002411FF"/>
    <w:rsid w:val="00245EFB"/>
    <w:rsid w:val="00251984"/>
    <w:rsid w:val="00253DA6"/>
    <w:rsid w:val="00254EAD"/>
    <w:rsid w:val="00256B99"/>
    <w:rsid w:val="00257256"/>
    <w:rsid w:val="00257927"/>
    <w:rsid w:val="00260C30"/>
    <w:rsid w:val="0026531F"/>
    <w:rsid w:val="00272DDD"/>
    <w:rsid w:val="0027372C"/>
    <w:rsid w:val="00273762"/>
    <w:rsid w:val="00276FDF"/>
    <w:rsid w:val="00282A0D"/>
    <w:rsid w:val="00283ED0"/>
    <w:rsid w:val="002879F0"/>
    <w:rsid w:val="00287CC5"/>
    <w:rsid w:val="00297841"/>
    <w:rsid w:val="00297F91"/>
    <w:rsid w:val="00297FA4"/>
    <w:rsid w:val="002A51DB"/>
    <w:rsid w:val="002A6FC3"/>
    <w:rsid w:val="002B5AAF"/>
    <w:rsid w:val="002C28E4"/>
    <w:rsid w:val="002C4DD9"/>
    <w:rsid w:val="002D0E18"/>
    <w:rsid w:val="002D4B47"/>
    <w:rsid w:val="002D5860"/>
    <w:rsid w:val="002D7DA2"/>
    <w:rsid w:val="002E1247"/>
    <w:rsid w:val="002E25CB"/>
    <w:rsid w:val="002E3E83"/>
    <w:rsid w:val="002F2B13"/>
    <w:rsid w:val="002F558B"/>
    <w:rsid w:val="002F72EE"/>
    <w:rsid w:val="002F7917"/>
    <w:rsid w:val="002F7E40"/>
    <w:rsid w:val="003001CB"/>
    <w:rsid w:val="00300F97"/>
    <w:rsid w:val="003032C3"/>
    <w:rsid w:val="00305955"/>
    <w:rsid w:val="00311FC2"/>
    <w:rsid w:val="00312215"/>
    <w:rsid w:val="00313CB8"/>
    <w:rsid w:val="0031572C"/>
    <w:rsid w:val="00315C74"/>
    <w:rsid w:val="003176D4"/>
    <w:rsid w:val="00326BB8"/>
    <w:rsid w:val="003308C3"/>
    <w:rsid w:val="00331437"/>
    <w:rsid w:val="00333BB4"/>
    <w:rsid w:val="00334F3C"/>
    <w:rsid w:val="003423EE"/>
    <w:rsid w:val="00345B5F"/>
    <w:rsid w:val="0035458B"/>
    <w:rsid w:val="003606A6"/>
    <w:rsid w:val="00362874"/>
    <w:rsid w:val="00367E6B"/>
    <w:rsid w:val="003711AA"/>
    <w:rsid w:val="00374DED"/>
    <w:rsid w:val="00385FA3"/>
    <w:rsid w:val="00395753"/>
    <w:rsid w:val="00397F5B"/>
    <w:rsid w:val="003A292B"/>
    <w:rsid w:val="003A7736"/>
    <w:rsid w:val="003D02DD"/>
    <w:rsid w:val="003D21DA"/>
    <w:rsid w:val="003D2D1B"/>
    <w:rsid w:val="003D3A07"/>
    <w:rsid w:val="003D4DFD"/>
    <w:rsid w:val="003D5582"/>
    <w:rsid w:val="003D7F84"/>
    <w:rsid w:val="003E6064"/>
    <w:rsid w:val="003E67C1"/>
    <w:rsid w:val="003F5BAA"/>
    <w:rsid w:val="003F76EA"/>
    <w:rsid w:val="004020EB"/>
    <w:rsid w:val="004023CE"/>
    <w:rsid w:val="00404EA8"/>
    <w:rsid w:val="004102C9"/>
    <w:rsid w:val="0041083C"/>
    <w:rsid w:val="00412D21"/>
    <w:rsid w:val="00412F1C"/>
    <w:rsid w:val="00420F8C"/>
    <w:rsid w:val="00421C09"/>
    <w:rsid w:val="004224BD"/>
    <w:rsid w:val="00424C7A"/>
    <w:rsid w:val="004253DF"/>
    <w:rsid w:val="004279E2"/>
    <w:rsid w:val="0043191C"/>
    <w:rsid w:val="00431E88"/>
    <w:rsid w:val="00433178"/>
    <w:rsid w:val="00436AEA"/>
    <w:rsid w:val="00440A91"/>
    <w:rsid w:val="00442C4E"/>
    <w:rsid w:val="004449E7"/>
    <w:rsid w:val="004459B3"/>
    <w:rsid w:val="00451FA1"/>
    <w:rsid w:val="0045377C"/>
    <w:rsid w:val="004615D4"/>
    <w:rsid w:val="00462156"/>
    <w:rsid w:val="004629DC"/>
    <w:rsid w:val="0046662E"/>
    <w:rsid w:val="0046697C"/>
    <w:rsid w:val="004705C4"/>
    <w:rsid w:val="004723C5"/>
    <w:rsid w:val="00480672"/>
    <w:rsid w:val="00480AEF"/>
    <w:rsid w:val="004861B2"/>
    <w:rsid w:val="004934AE"/>
    <w:rsid w:val="004A3104"/>
    <w:rsid w:val="004A70FE"/>
    <w:rsid w:val="004A7E22"/>
    <w:rsid w:val="004B0ED5"/>
    <w:rsid w:val="004B1782"/>
    <w:rsid w:val="004B2DAA"/>
    <w:rsid w:val="004B38AC"/>
    <w:rsid w:val="004B7305"/>
    <w:rsid w:val="004C5A8C"/>
    <w:rsid w:val="004E0458"/>
    <w:rsid w:val="004E057C"/>
    <w:rsid w:val="004E1483"/>
    <w:rsid w:val="004F0683"/>
    <w:rsid w:val="004F127B"/>
    <w:rsid w:val="004F2B82"/>
    <w:rsid w:val="004F4A02"/>
    <w:rsid w:val="004F67F6"/>
    <w:rsid w:val="00502AF8"/>
    <w:rsid w:val="0050764D"/>
    <w:rsid w:val="00510DE1"/>
    <w:rsid w:val="0051715A"/>
    <w:rsid w:val="00517FAC"/>
    <w:rsid w:val="00520BF8"/>
    <w:rsid w:val="005264E4"/>
    <w:rsid w:val="005303D5"/>
    <w:rsid w:val="0053092A"/>
    <w:rsid w:val="00531961"/>
    <w:rsid w:val="0053444B"/>
    <w:rsid w:val="00542C96"/>
    <w:rsid w:val="00544B45"/>
    <w:rsid w:val="005461C7"/>
    <w:rsid w:val="005472DB"/>
    <w:rsid w:val="005535CF"/>
    <w:rsid w:val="00555826"/>
    <w:rsid w:val="00556549"/>
    <w:rsid w:val="0056165E"/>
    <w:rsid w:val="0056220A"/>
    <w:rsid w:val="00564FB4"/>
    <w:rsid w:val="00566E49"/>
    <w:rsid w:val="00571E32"/>
    <w:rsid w:val="00572565"/>
    <w:rsid w:val="00574CC9"/>
    <w:rsid w:val="00580899"/>
    <w:rsid w:val="005931E8"/>
    <w:rsid w:val="00594AC0"/>
    <w:rsid w:val="005A1D65"/>
    <w:rsid w:val="005A1F1D"/>
    <w:rsid w:val="005A304C"/>
    <w:rsid w:val="005A52B2"/>
    <w:rsid w:val="005A5BEC"/>
    <w:rsid w:val="005B1CEF"/>
    <w:rsid w:val="005B76A2"/>
    <w:rsid w:val="005C2201"/>
    <w:rsid w:val="005C2A5B"/>
    <w:rsid w:val="005C70E6"/>
    <w:rsid w:val="005C7C51"/>
    <w:rsid w:val="005D19A2"/>
    <w:rsid w:val="005E1A6A"/>
    <w:rsid w:val="005E1D06"/>
    <w:rsid w:val="005E2BA5"/>
    <w:rsid w:val="005E782D"/>
    <w:rsid w:val="005F4B58"/>
    <w:rsid w:val="005F6D4D"/>
    <w:rsid w:val="005F6DB7"/>
    <w:rsid w:val="006145F5"/>
    <w:rsid w:val="00616E4B"/>
    <w:rsid w:val="00617AB3"/>
    <w:rsid w:val="006202E2"/>
    <w:rsid w:val="00621092"/>
    <w:rsid w:val="00623933"/>
    <w:rsid w:val="00627F2D"/>
    <w:rsid w:val="00642465"/>
    <w:rsid w:val="00642C4C"/>
    <w:rsid w:val="00644DB5"/>
    <w:rsid w:val="00646D9E"/>
    <w:rsid w:val="006543A2"/>
    <w:rsid w:val="00656E0B"/>
    <w:rsid w:val="006614F1"/>
    <w:rsid w:val="00667726"/>
    <w:rsid w:val="00670482"/>
    <w:rsid w:val="0067087A"/>
    <w:rsid w:val="00673B01"/>
    <w:rsid w:val="00676513"/>
    <w:rsid w:val="0067761B"/>
    <w:rsid w:val="0068003A"/>
    <w:rsid w:val="00682051"/>
    <w:rsid w:val="00683506"/>
    <w:rsid w:val="00683898"/>
    <w:rsid w:val="006851C4"/>
    <w:rsid w:val="00691469"/>
    <w:rsid w:val="00693ECB"/>
    <w:rsid w:val="00696BBE"/>
    <w:rsid w:val="0069736C"/>
    <w:rsid w:val="006A57C5"/>
    <w:rsid w:val="006A71DE"/>
    <w:rsid w:val="006B38E9"/>
    <w:rsid w:val="006B439D"/>
    <w:rsid w:val="006B4D85"/>
    <w:rsid w:val="006B6377"/>
    <w:rsid w:val="006B6954"/>
    <w:rsid w:val="006C6BDB"/>
    <w:rsid w:val="006C6F6E"/>
    <w:rsid w:val="006D485E"/>
    <w:rsid w:val="006D68F3"/>
    <w:rsid w:val="006E46E0"/>
    <w:rsid w:val="006F382B"/>
    <w:rsid w:val="006F4D27"/>
    <w:rsid w:val="007026D4"/>
    <w:rsid w:val="0070336D"/>
    <w:rsid w:val="0071133C"/>
    <w:rsid w:val="007122C6"/>
    <w:rsid w:val="00714239"/>
    <w:rsid w:val="0071698E"/>
    <w:rsid w:val="0072089D"/>
    <w:rsid w:val="00721BA7"/>
    <w:rsid w:val="00721DD5"/>
    <w:rsid w:val="007273E8"/>
    <w:rsid w:val="007316F7"/>
    <w:rsid w:val="00732909"/>
    <w:rsid w:val="0073755A"/>
    <w:rsid w:val="00737704"/>
    <w:rsid w:val="0074654F"/>
    <w:rsid w:val="0074744E"/>
    <w:rsid w:val="00752A7A"/>
    <w:rsid w:val="00760CFC"/>
    <w:rsid w:val="00762A50"/>
    <w:rsid w:val="00763365"/>
    <w:rsid w:val="00765C0B"/>
    <w:rsid w:val="00775186"/>
    <w:rsid w:val="00780711"/>
    <w:rsid w:val="00782543"/>
    <w:rsid w:val="0078309C"/>
    <w:rsid w:val="00786574"/>
    <w:rsid w:val="00790CB7"/>
    <w:rsid w:val="007911EF"/>
    <w:rsid w:val="007962E5"/>
    <w:rsid w:val="007A09A1"/>
    <w:rsid w:val="007A276C"/>
    <w:rsid w:val="007A512D"/>
    <w:rsid w:val="007A54BB"/>
    <w:rsid w:val="007B34D0"/>
    <w:rsid w:val="007B5FF4"/>
    <w:rsid w:val="007B78E9"/>
    <w:rsid w:val="007D20E3"/>
    <w:rsid w:val="007D6CF7"/>
    <w:rsid w:val="007D7092"/>
    <w:rsid w:val="007D72C5"/>
    <w:rsid w:val="007D747D"/>
    <w:rsid w:val="007D78A6"/>
    <w:rsid w:val="007E2892"/>
    <w:rsid w:val="007E3056"/>
    <w:rsid w:val="007E7EDC"/>
    <w:rsid w:val="007F00A0"/>
    <w:rsid w:val="007F1D42"/>
    <w:rsid w:val="007F273D"/>
    <w:rsid w:val="007F395F"/>
    <w:rsid w:val="007F611B"/>
    <w:rsid w:val="007F6177"/>
    <w:rsid w:val="007F6A43"/>
    <w:rsid w:val="00800DD4"/>
    <w:rsid w:val="00801E9E"/>
    <w:rsid w:val="00805209"/>
    <w:rsid w:val="008069BE"/>
    <w:rsid w:val="008077AB"/>
    <w:rsid w:val="00810776"/>
    <w:rsid w:val="0081208D"/>
    <w:rsid w:val="00812DF3"/>
    <w:rsid w:val="0081391D"/>
    <w:rsid w:val="00816E6B"/>
    <w:rsid w:val="00821604"/>
    <w:rsid w:val="00825F33"/>
    <w:rsid w:val="00825FC1"/>
    <w:rsid w:val="0082688C"/>
    <w:rsid w:val="00827D56"/>
    <w:rsid w:val="00830AA0"/>
    <w:rsid w:val="008318B0"/>
    <w:rsid w:val="008323EF"/>
    <w:rsid w:val="00845744"/>
    <w:rsid w:val="00846203"/>
    <w:rsid w:val="00852B07"/>
    <w:rsid w:val="0085416F"/>
    <w:rsid w:val="0086058B"/>
    <w:rsid w:val="00862499"/>
    <w:rsid w:val="008654C0"/>
    <w:rsid w:val="0087234C"/>
    <w:rsid w:val="00875A5A"/>
    <w:rsid w:val="008775A1"/>
    <w:rsid w:val="00877D59"/>
    <w:rsid w:val="00880835"/>
    <w:rsid w:val="00885671"/>
    <w:rsid w:val="00886CE9"/>
    <w:rsid w:val="00886F40"/>
    <w:rsid w:val="0089150C"/>
    <w:rsid w:val="00892289"/>
    <w:rsid w:val="008949A8"/>
    <w:rsid w:val="00896956"/>
    <w:rsid w:val="008A0AE9"/>
    <w:rsid w:val="008B096D"/>
    <w:rsid w:val="008B11BF"/>
    <w:rsid w:val="008B6739"/>
    <w:rsid w:val="008B7E8B"/>
    <w:rsid w:val="008C375D"/>
    <w:rsid w:val="008C39E8"/>
    <w:rsid w:val="008C54C7"/>
    <w:rsid w:val="008C7173"/>
    <w:rsid w:val="008D53DB"/>
    <w:rsid w:val="008D58C7"/>
    <w:rsid w:val="008D5B8B"/>
    <w:rsid w:val="008E53AC"/>
    <w:rsid w:val="008F0934"/>
    <w:rsid w:val="008F4161"/>
    <w:rsid w:val="008F7509"/>
    <w:rsid w:val="0090563E"/>
    <w:rsid w:val="009063B8"/>
    <w:rsid w:val="00906DBA"/>
    <w:rsid w:val="00912871"/>
    <w:rsid w:val="00912FCB"/>
    <w:rsid w:val="00913D92"/>
    <w:rsid w:val="00915E0B"/>
    <w:rsid w:val="00923543"/>
    <w:rsid w:val="00925EF3"/>
    <w:rsid w:val="009319EF"/>
    <w:rsid w:val="0093232D"/>
    <w:rsid w:val="0093376C"/>
    <w:rsid w:val="009346D3"/>
    <w:rsid w:val="009348F1"/>
    <w:rsid w:val="00934E53"/>
    <w:rsid w:val="00935CD2"/>
    <w:rsid w:val="00940042"/>
    <w:rsid w:val="009417E2"/>
    <w:rsid w:val="009421C0"/>
    <w:rsid w:val="0094244C"/>
    <w:rsid w:val="00942BD7"/>
    <w:rsid w:val="00944957"/>
    <w:rsid w:val="00944A52"/>
    <w:rsid w:val="009470DB"/>
    <w:rsid w:val="00947D35"/>
    <w:rsid w:val="00950192"/>
    <w:rsid w:val="00952C19"/>
    <w:rsid w:val="00956D0A"/>
    <w:rsid w:val="009606BA"/>
    <w:rsid w:val="009635C6"/>
    <w:rsid w:val="00966FCB"/>
    <w:rsid w:val="00970969"/>
    <w:rsid w:val="00971C7B"/>
    <w:rsid w:val="00973E0B"/>
    <w:rsid w:val="009809E8"/>
    <w:rsid w:val="00980B03"/>
    <w:rsid w:val="00987A2A"/>
    <w:rsid w:val="00987B30"/>
    <w:rsid w:val="009A0EB1"/>
    <w:rsid w:val="009A17A2"/>
    <w:rsid w:val="009A289D"/>
    <w:rsid w:val="009A694E"/>
    <w:rsid w:val="009A795F"/>
    <w:rsid w:val="009B2ADE"/>
    <w:rsid w:val="009B30BA"/>
    <w:rsid w:val="009B6CCD"/>
    <w:rsid w:val="009C3A12"/>
    <w:rsid w:val="009C3BF1"/>
    <w:rsid w:val="009C70DF"/>
    <w:rsid w:val="009E2C2B"/>
    <w:rsid w:val="009E38C9"/>
    <w:rsid w:val="009E3D72"/>
    <w:rsid w:val="009E4BDD"/>
    <w:rsid w:val="009E7F25"/>
    <w:rsid w:val="009F3FCB"/>
    <w:rsid w:val="009F453A"/>
    <w:rsid w:val="009F6139"/>
    <w:rsid w:val="00A0241C"/>
    <w:rsid w:val="00A03AA3"/>
    <w:rsid w:val="00A065C6"/>
    <w:rsid w:val="00A10FF5"/>
    <w:rsid w:val="00A148CC"/>
    <w:rsid w:val="00A21CEC"/>
    <w:rsid w:val="00A22272"/>
    <w:rsid w:val="00A22E25"/>
    <w:rsid w:val="00A22FD2"/>
    <w:rsid w:val="00A23E88"/>
    <w:rsid w:val="00A2458C"/>
    <w:rsid w:val="00A262EA"/>
    <w:rsid w:val="00A30DAE"/>
    <w:rsid w:val="00A42CA3"/>
    <w:rsid w:val="00A45ECE"/>
    <w:rsid w:val="00A539D6"/>
    <w:rsid w:val="00A5428A"/>
    <w:rsid w:val="00A55573"/>
    <w:rsid w:val="00A60178"/>
    <w:rsid w:val="00A61B3C"/>
    <w:rsid w:val="00A649B8"/>
    <w:rsid w:val="00A64BF0"/>
    <w:rsid w:val="00A702D2"/>
    <w:rsid w:val="00A70E15"/>
    <w:rsid w:val="00A71787"/>
    <w:rsid w:val="00A776B7"/>
    <w:rsid w:val="00A81934"/>
    <w:rsid w:val="00A83DA9"/>
    <w:rsid w:val="00A93B1B"/>
    <w:rsid w:val="00A9419B"/>
    <w:rsid w:val="00A960D0"/>
    <w:rsid w:val="00AA5085"/>
    <w:rsid w:val="00AB109E"/>
    <w:rsid w:val="00AB532B"/>
    <w:rsid w:val="00AC0AA7"/>
    <w:rsid w:val="00AC2E9F"/>
    <w:rsid w:val="00AC4A12"/>
    <w:rsid w:val="00AC6603"/>
    <w:rsid w:val="00AD09C4"/>
    <w:rsid w:val="00AD39B1"/>
    <w:rsid w:val="00AD4EC5"/>
    <w:rsid w:val="00AD6D2F"/>
    <w:rsid w:val="00AE3701"/>
    <w:rsid w:val="00AE6F6C"/>
    <w:rsid w:val="00AF17B7"/>
    <w:rsid w:val="00AF44B2"/>
    <w:rsid w:val="00AF4B78"/>
    <w:rsid w:val="00AF7C47"/>
    <w:rsid w:val="00AF7D01"/>
    <w:rsid w:val="00B00D43"/>
    <w:rsid w:val="00B04AD1"/>
    <w:rsid w:val="00B05A60"/>
    <w:rsid w:val="00B062F1"/>
    <w:rsid w:val="00B07ED4"/>
    <w:rsid w:val="00B10993"/>
    <w:rsid w:val="00B117D6"/>
    <w:rsid w:val="00B224BC"/>
    <w:rsid w:val="00B22D44"/>
    <w:rsid w:val="00B258AC"/>
    <w:rsid w:val="00B2799C"/>
    <w:rsid w:val="00B311DB"/>
    <w:rsid w:val="00B31E21"/>
    <w:rsid w:val="00B34065"/>
    <w:rsid w:val="00B341AD"/>
    <w:rsid w:val="00B44D2B"/>
    <w:rsid w:val="00B519A8"/>
    <w:rsid w:val="00B5421C"/>
    <w:rsid w:val="00B56A97"/>
    <w:rsid w:val="00B6247E"/>
    <w:rsid w:val="00B71BC8"/>
    <w:rsid w:val="00B74F9A"/>
    <w:rsid w:val="00B84F62"/>
    <w:rsid w:val="00B85967"/>
    <w:rsid w:val="00B91EB8"/>
    <w:rsid w:val="00B9352B"/>
    <w:rsid w:val="00BA00AF"/>
    <w:rsid w:val="00BA02F1"/>
    <w:rsid w:val="00BA035F"/>
    <w:rsid w:val="00BA1171"/>
    <w:rsid w:val="00BA15D1"/>
    <w:rsid w:val="00BA3B7F"/>
    <w:rsid w:val="00BA4062"/>
    <w:rsid w:val="00BB0F39"/>
    <w:rsid w:val="00BB472A"/>
    <w:rsid w:val="00BB6315"/>
    <w:rsid w:val="00BC1678"/>
    <w:rsid w:val="00BC3297"/>
    <w:rsid w:val="00BC6F9B"/>
    <w:rsid w:val="00BD6BC3"/>
    <w:rsid w:val="00BE0054"/>
    <w:rsid w:val="00BE127D"/>
    <w:rsid w:val="00BE5BD6"/>
    <w:rsid w:val="00BF20C3"/>
    <w:rsid w:val="00BF3041"/>
    <w:rsid w:val="00BF3B9C"/>
    <w:rsid w:val="00BF5A49"/>
    <w:rsid w:val="00BF5C1F"/>
    <w:rsid w:val="00C0609E"/>
    <w:rsid w:val="00C12262"/>
    <w:rsid w:val="00C15592"/>
    <w:rsid w:val="00C212B8"/>
    <w:rsid w:val="00C21F3D"/>
    <w:rsid w:val="00C30D62"/>
    <w:rsid w:val="00C37964"/>
    <w:rsid w:val="00C37D06"/>
    <w:rsid w:val="00C37ECB"/>
    <w:rsid w:val="00C43268"/>
    <w:rsid w:val="00C47D28"/>
    <w:rsid w:val="00C47EE6"/>
    <w:rsid w:val="00C52F01"/>
    <w:rsid w:val="00C536F3"/>
    <w:rsid w:val="00C5501A"/>
    <w:rsid w:val="00C648DA"/>
    <w:rsid w:val="00C66052"/>
    <w:rsid w:val="00C73B98"/>
    <w:rsid w:val="00C746B7"/>
    <w:rsid w:val="00C74E39"/>
    <w:rsid w:val="00C75D24"/>
    <w:rsid w:val="00C86708"/>
    <w:rsid w:val="00C90C25"/>
    <w:rsid w:val="00C9785A"/>
    <w:rsid w:val="00CA4B72"/>
    <w:rsid w:val="00CA66A0"/>
    <w:rsid w:val="00CB0342"/>
    <w:rsid w:val="00CB3BD1"/>
    <w:rsid w:val="00CB472E"/>
    <w:rsid w:val="00CB5476"/>
    <w:rsid w:val="00CC277C"/>
    <w:rsid w:val="00CC597C"/>
    <w:rsid w:val="00CC67C8"/>
    <w:rsid w:val="00CD0B37"/>
    <w:rsid w:val="00CD152D"/>
    <w:rsid w:val="00CD367E"/>
    <w:rsid w:val="00CD5C3E"/>
    <w:rsid w:val="00CD5FBA"/>
    <w:rsid w:val="00CE22C8"/>
    <w:rsid w:val="00CE4CBA"/>
    <w:rsid w:val="00CE54F6"/>
    <w:rsid w:val="00CF6102"/>
    <w:rsid w:val="00CF7D69"/>
    <w:rsid w:val="00D01721"/>
    <w:rsid w:val="00D10A2E"/>
    <w:rsid w:val="00D11509"/>
    <w:rsid w:val="00D11860"/>
    <w:rsid w:val="00D13337"/>
    <w:rsid w:val="00D13F7C"/>
    <w:rsid w:val="00D20F64"/>
    <w:rsid w:val="00D23372"/>
    <w:rsid w:val="00D257B4"/>
    <w:rsid w:val="00D26A05"/>
    <w:rsid w:val="00D33DDF"/>
    <w:rsid w:val="00D44501"/>
    <w:rsid w:val="00D47D7F"/>
    <w:rsid w:val="00D60B98"/>
    <w:rsid w:val="00D613B2"/>
    <w:rsid w:val="00D63532"/>
    <w:rsid w:val="00D70DEB"/>
    <w:rsid w:val="00D843F5"/>
    <w:rsid w:val="00D8446D"/>
    <w:rsid w:val="00D957AE"/>
    <w:rsid w:val="00DA236F"/>
    <w:rsid w:val="00DA7856"/>
    <w:rsid w:val="00DB056C"/>
    <w:rsid w:val="00DB2959"/>
    <w:rsid w:val="00DB317B"/>
    <w:rsid w:val="00DB5C9C"/>
    <w:rsid w:val="00DB64BA"/>
    <w:rsid w:val="00DB7E0A"/>
    <w:rsid w:val="00DC357F"/>
    <w:rsid w:val="00DC512F"/>
    <w:rsid w:val="00DC635B"/>
    <w:rsid w:val="00DC7370"/>
    <w:rsid w:val="00DD2694"/>
    <w:rsid w:val="00DD7360"/>
    <w:rsid w:val="00DE12EE"/>
    <w:rsid w:val="00DE19BE"/>
    <w:rsid w:val="00DE488C"/>
    <w:rsid w:val="00DE6959"/>
    <w:rsid w:val="00DF02AF"/>
    <w:rsid w:val="00DF02B2"/>
    <w:rsid w:val="00DF052A"/>
    <w:rsid w:val="00DF0921"/>
    <w:rsid w:val="00DF2050"/>
    <w:rsid w:val="00DF4A78"/>
    <w:rsid w:val="00E0133D"/>
    <w:rsid w:val="00E043DF"/>
    <w:rsid w:val="00E070FE"/>
    <w:rsid w:val="00E118DC"/>
    <w:rsid w:val="00E140C7"/>
    <w:rsid w:val="00E149CD"/>
    <w:rsid w:val="00E16D77"/>
    <w:rsid w:val="00E16E95"/>
    <w:rsid w:val="00E1797B"/>
    <w:rsid w:val="00E23546"/>
    <w:rsid w:val="00E23A2A"/>
    <w:rsid w:val="00E23D43"/>
    <w:rsid w:val="00E24A61"/>
    <w:rsid w:val="00E261BD"/>
    <w:rsid w:val="00E27BB5"/>
    <w:rsid w:val="00E338B8"/>
    <w:rsid w:val="00E357E3"/>
    <w:rsid w:val="00E37143"/>
    <w:rsid w:val="00E401B6"/>
    <w:rsid w:val="00E4167A"/>
    <w:rsid w:val="00E4178B"/>
    <w:rsid w:val="00E41E7F"/>
    <w:rsid w:val="00E430DA"/>
    <w:rsid w:val="00E43B6F"/>
    <w:rsid w:val="00E4626E"/>
    <w:rsid w:val="00E51FBB"/>
    <w:rsid w:val="00E5645D"/>
    <w:rsid w:val="00E61BF2"/>
    <w:rsid w:val="00E66405"/>
    <w:rsid w:val="00E665AF"/>
    <w:rsid w:val="00E74E02"/>
    <w:rsid w:val="00E81E47"/>
    <w:rsid w:val="00E828F9"/>
    <w:rsid w:val="00E84BD4"/>
    <w:rsid w:val="00E85045"/>
    <w:rsid w:val="00E85553"/>
    <w:rsid w:val="00E9359A"/>
    <w:rsid w:val="00EA20F3"/>
    <w:rsid w:val="00EA29C7"/>
    <w:rsid w:val="00EA3AA8"/>
    <w:rsid w:val="00EA7469"/>
    <w:rsid w:val="00EB1F52"/>
    <w:rsid w:val="00EB2B6B"/>
    <w:rsid w:val="00EC15D0"/>
    <w:rsid w:val="00EC76EE"/>
    <w:rsid w:val="00ED1CE2"/>
    <w:rsid w:val="00ED5E7D"/>
    <w:rsid w:val="00ED7AB6"/>
    <w:rsid w:val="00EE0606"/>
    <w:rsid w:val="00EE2855"/>
    <w:rsid w:val="00EE2FE1"/>
    <w:rsid w:val="00EE4025"/>
    <w:rsid w:val="00EE42D5"/>
    <w:rsid w:val="00EE4EC9"/>
    <w:rsid w:val="00EF7162"/>
    <w:rsid w:val="00F040E9"/>
    <w:rsid w:val="00F046BF"/>
    <w:rsid w:val="00F06E36"/>
    <w:rsid w:val="00F10854"/>
    <w:rsid w:val="00F144CE"/>
    <w:rsid w:val="00F22EA0"/>
    <w:rsid w:val="00F26B9D"/>
    <w:rsid w:val="00F30781"/>
    <w:rsid w:val="00F354D9"/>
    <w:rsid w:val="00F35750"/>
    <w:rsid w:val="00F3781A"/>
    <w:rsid w:val="00F44D6C"/>
    <w:rsid w:val="00F52B6F"/>
    <w:rsid w:val="00F52C83"/>
    <w:rsid w:val="00F57964"/>
    <w:rsid w:val="00F60482"/>
    <w:rsid w:val="00F62D15"/>
    <w:rsid w:val="00F64E4C"/>
    <w:rsid w:val="00F7089A"/>
    <w:rsid w:val="00F718CA"/>
    <w:rsid w:val="00F7484B"/>
    <w:rsid w:val="00F779B6"/>
    <w:rsid w:val="00F8122C"/>
    <w:rsid w:val="00F8377B"/>
    <w:rsid w:val="00F86621"/>
    <w:rsid w:val="00F908C8"/>
    <w:rsid w:val="00F90C25"/>
    <w:rsid w:val="00F90D0D"/>
    <w:rsid w:val="00F97240"/>
    <w:rsid w:val="00F972A1"/>
    <w:rsid w:val="00F979C1"/>
    <w:rsid w:val="00FA151D"/>
    <w:rsid w:val="00FA735A"/>
    <w:rsid w:val="00FB08D4"/>
    <w:rsid w:val="00FB4C78"/>
    <w:rsid w:val="00FB5E76"/>
    <w:rsid w:val="00FC0851"/>
    <w:rsid w:val="00FD6A45"/>
    <w:rsid w:val="00FD79BB"/>
    <w:rsid w:val="00FE566F"/>
    <w:rsid w:val="00FF01C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77938-103D-4041-B223-15A343E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E16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Note">
    <w:name w:val="TableNote"/>
    <w:basedOn w:val="Normal"/>
    <w:rsid w:val="00E16D7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E16D7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E16D77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E1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Rodriguez Llanes</dc:creator>
  <cp:keywords/>
  <dc:description/>
  <cp:lastModifiedBy>Jose Manuel Rodriguez Llanes</cp:lastModifiedBy>
  <cp:revision>3</cp:revision>
  <dcterms:created xsi:type="dcterms:W3CDTF">2016-01-27T09:36:00Z</dcterms:created>
  <dcterms:modified xsi:type="dcterms:W3CDTF">2016-01-27T09:36:00Z</dcterms:modified>
</cp:coreProperties>
</file>