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BD5" w:rsidRPr="00775EF2" w:rsidRDefault="00012BD5" w:rsidP="00012BD5">
      <w:r w:rsidRPr="00775EF2">
        <w:rPr>
          <w:noProof/>
          <w:lang w:val="es-ES" w:eastAsia="es-ES"/>
        </w:rPr>
        <w:drawing>
          <wp:inline distT="0" distB="0" distL="0" distR="0" wp14:anchorId="60F10C00" wp14:editId="1A66590F">
            <wp:extent cx="5260763" cy="2525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27656" t="21418" r="28207" b="44685"/>
                    <a:stretch/>
                  </pic:blipFill>
                  <pic:spPr bwMode="auto">
                    <a:xfrm>
                      <a:off x="0" y="0"/>
                      <a:ext cx="5261553" cy="2525545"/>
                    </a:xfrm>
                    <a:prstGeom prst="rect">
                      <a:avLst/>
                    </a:prstGeom>
                    <a:noFill/>
                    <a:ln>
                      <a:noFill/>
                    </a:ln>
                    <a:extLst>
                      <a:ext uri="{53640926-AAD7-44d8-BBD7-CCE9431645EC}">
                        <a14:shadowObscured xmlns:a14="http://schemas.microsoft.com/office/drawing/2010/main"/>
                      </a:ext>
                    </a:extLst>
                  </pic:spPr>
                </pic:pic>
              </a:graphicData>
            </a:graphic>
          </wp:inline>
        </w:drawing>
      </w:r>
    </w:p>
    <w:p w:rsidR="00012BD5" w:rsidRPr="00775EF2" w:rsidRDefault="00012BD5" w:rsidP="00012BD5">
      <w:pPr>
        <w:spacing w:line="360" w:lineRule="auto"/>
      </w:pPr>
      <w:r w:rsidRPr="00775EF2">
        <w:rPr>
          <w:b/>
        </w:rPr>
        <w:t>Supplemental Figure 1</w:t>
      </w:r>
      <w:r w:rsidRPr="00775EF2">
        <w:t xml:space="preserve">. Glucose yield of </w:t>
      </w:r>
      <w:r w:rsidRPr="00775EF2">
        <w:rPr>
          <w:i/>
        </w:rPr>
        <w:t>OxSUB1A</w:t>
      </w:r>
      <w:r w:rsidRPr="00775EF2">
        <w:t>-L5 and Col-0 determined in an Accellerase-only digestion assay over 36 hours. Glucose content was measured with glucose oxidase. 22-day-old plants. Values are means of two independent experimental replicates, each with n=3 plants. Error bars are ±S.E.</w:t>
      </w:r>
    </w:p>
    <w:p w:rsidR="00012BD5" w:rsidRPr="00775EF2" w:rsidRDefault="00012BD5" w:rsidP="00012BD5">
      <w:pPr>
        <w:spacing w:line="360" w:lineRule="auto"/>
        <w:jc w:val="center"/>
        <w:rPr>
          <w:b/>
        </w:rPr>
      </w:pPr>
      <w:r w:rsidRPr="00775EF2">
        <w:rPr>
          <w:b/>
        </w:rPr>
        <w:br w:type="column"/>
      </w:r>
      <w:r w:rsidRPr="00775EF2">
        <w:rPr>
          <w:b/>
          <w:noProof/>
          <w:lang w:val="es-ES" w:eastAsia="es-ES"/>
        </w:rPr>
        <w:lastRenderedPageBreak/>
        <w:drawing>
          <wp:inline distT="0" distB="0" distL="0" distR="0" wp14:anchorId="4DF6FEC3" wp14:editId="1798571C">
            <wp:extent cx="3410797" cy="482270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28684" t="7533" r="39687" b="20913"/>
                    <a:stretch/>
                  </pic:blipFill>
                  <pic:spPr bwMode="auto">
                    <a:xfrm>
                      <a:off x="0" y="0"/>
                      <a:ext cx="3411807" cy="4824136"/>
                    </a:xfrm>
                    <a:prstGeom prst="rect">
                      <a:avLst/>
                    </a:prstGeom>
                    <a:noFill/>
                    <a:ln>
                      <a:noFill/>
                    </a:ln>
                    <a:extLst>
                      <a:ext uri="{53640926-AAD7-44d8-BBD7-CCE9431645EC}">
                        <a14:shadowObscured xmlns:a14="http://schemas.microsoft.com/office/drawing/2010/main"/>
                      </a:ext>
                    </a:extLst>
                  </pic:spPr>
                </pic:pic>
              </a:graphicData>
            </a:graphic>
          </wp:inline>
        </w:drawing>
      </w:r>
    </w:p>
    <w:p w:rsidR="00012BD5" w:rsidRPr="00775EF2" w:rsidRDefault="00012BD5" w:rsidP="00012BD5">
      <w:pPr>
        <w:spacing w:line="360" w:lineRule="auto"/>
      </w:pPr>
      <w:r w:rsidRPr="00775EF2">
        <w:rPr>
          <w:b/>
        </w:rPr>
        <w:t>Supplemental Figure 2</w:t>
      </w:r>
      <w:r w:rsidRPr="00775EF2">
        <w:t>. Scanning electron microscope images of starch granules isolated by centrifugation from rosette leaves of 21-day-old Col-0. Black bar is 10</w:t>
      </w:r>
      <w:r w:rsidRPr="00775EF2">
        <w:sym w:font="Symbol" w:char="F06D"/>
      </w:r>
      <w:r w:rsidRPr="00775EF2">
        <w:t>m.</w:t>
      </w:r>
    </w:p>
    <w:p w:rsidR="00012BD5" w:rsidRPr="00775EF2" w:rsidRDefault="00012BD5" w:rsidP="00012BD5">
      <w:pPr>
        <w:spacing w:line="360" w:lineRule="auto"/>
        <w:jc w:val="center"/>
      </w:pPr>
      <w:r w:rsidRPr="00775EF2">
        <w:br w:type="column"/>
      </w:r>
      <w:r w:rsidRPr="00775EF2">
        <w:rPr>
          <w:noProof/>
          <w:lang w:val="es-ES" w:eastAsia="es-ES"/>
        </w:rPr>
        <w:drawing>
          <wp:inline distT="0" distB="0" distL="0" distR="0" wp14:anchorId="4A527F99" wp14:editId="59F5F3C9">
            <wp:extent cx="4305590" cy="5835208"/>
            <wp:effectExtent l="0" t="0" r="1270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9 at 4.37.21 PM.png"/>
                    <pic:cNvPicPr/>
                  </pic:nvPicPr>
                  <pic:blipFill rotWithShape="1">
                    <a:blip r:embed="rId7">
                      <a:extLst>
                        <a:ext uri="{28A0092B-C50C-407E-A947-70E740481C1C}">
                          <a14:useLocalDpi xmlns:a14="http://schemas.microsoft.com/office/drawing/2010/main" val="0"/>
                        </a:ext>
                      </a:extLst>
                    </a:blip>
                    <a:srcRect l="26920" r="26964"/>
                    <a:stretch/>
                  </pic:blipFill>
                  <pic:spPr bwMode="auto">
                    <a:xfrm>
                      <a:off x="0" y="0"/>
                      <a:ext cx="4306450" cy="5836373"/>
                    </a:xfrm>
                    <a:prstGeom prst="rect">
                      <a:avLst/>
                    </a:prstGeom>
                    <a:ln>
                      <a:noFill/>
                    </a:ln>
                    <a:extLst>
                      <a:ext uri="{53640926-AAD7-44d8-BBD7-CCE9431645EC}">
                        <a14:shadowObscured xmlns:a14="http://schemas.microsoft.com/office/drawing/2010/main"/>
                      </a:ext>
                    </a:extLst>
                  </pic:spPr>
                </pic:pic>
              </a:graphicData>
            </a:graphic>
          </wp:inline>
        </w:drawing>
      </w:r>
    </w:p>
    <w:p w:rsidR="00012BD5" w:rsidRPr="00775EF2" w:rsidRDefault="00012BD5" w:rsidP="00012BD5">
      <w:pPr>
        <w:spacing w:line="360" w:lineRule="auto"/>
      </w:pPr>
      <w:r w:rsidRPr="00775EF2">
        <w:rPr>
          <w:b/>
        </w:rPr>
        <w:t xml:space="preserve">Supplemental Figure 3. Proposed model for improved saccharification phenotype of </w:t>
      </w:r>
      <w:r w:rsidRPr="00775EF2">
        <w:rPr>
          <w:b/>
          <w:i/>
        </w:rPr>
        <w:t>OxSUB1A-1 Arabidopsis</w:t>
      </w:r>
      <w:r w:rsidRPr="00775EF2">
        <w:rPr>
          <w:b/>
        </w:rPr>
        <w:t>.</w:t>
      </w:r>
      <w:r w:rsidRPr="00775EF2">
        <w:t xml:space="preserve">  (A) </w:t>
      </w:r>
      <w:r w:rsidRPr="00775EF2">
        <w:rPr>
          <w:i/>
        </w:rPr>
        <w:t xml:space="preserve">Arabidopsis </w:t>
      </w:r>
      <w:r w:rsidRPr="00775EF2">
        <w:t xml:space="preserve">plants growing under normal conditions transit from juvenile to reproductive stage using the carbohydrates generated in photosynthesis as an energy resource for development of inflorescences and seeds. (B) </w:t>
      </w:r>
      <w:r w:rsidRPr="00775EF2">
        <w:rPr>
          <w:i/>
        </w:rPr>
        <w:t>OxSUB1A</w:t>
      </w:r>
      <w:r w:rsidRPr="00775EF2">
        <w:t xml:space="preserve"> plants display flowering inhibition and starch conservation two characteristics of the rice LOQS response. The constitutive expression of these phenotypes under normal growth conditions leads to an improvement in amylolytic saccharification. (C) </w:t>
      </w:r>
      <w:r w:rsidRPr="00775EF2">
        <w:rPr>
          <w:i/>
        </w:rPr>
        <w:t xml:space="preserve">SUB1A-1 </w:t>
      </w:r>
      <w:r w:rsidRPr="00775EF2">
        <w:t>induces a set of cell wall associated proteins including expansin (</w:t>
      </w:r>
      <w:r w:rsidRPr="00775EF2">
        <w:rPr>
          <w:i/>
        </w:rPr>
        <w:t>AtEXP2</w:t>
      </w:r>
      <w:r w:rsidRPr="00775EF2">
        <w:t>) and glucan-1,3,-glucanase (</w:t>
      </w:r>
      <w:r w:rsidRPr="00775EF2">
        <w:rPr>
          <w:i/>
        </w:rPr>
        <w:t>BGL2</w:t>
      </w:r>
      <w:r w:rsidRPr="00775EF2">
        <w:t>) that act to weaken cell wall microfibrils and ease of access of external cellulolytic enzymes used for digestion of cellulose in biofuel production as compared to Col-0. CHO: soluble carbohydrates.</w:t>
      </w:r>
    </w:p>
    <w:p w:rsidR="00012BD5" w:rsidRPr="00775EF2" w:rsidRDefault="00012BD5" w:rsidP="00012BD5">
      <w:pPr>
        <w:spacing w:line="360" w:lineRule="auto"/>
      </w:pPr>
      <w:r w:rsidRPr="00775EF2">
        <w:rPr>
          <w:b/>
        </w:rPr>
        <w:br w:type="column"/>
        <w:t xml:space="preserve">Supplemental Table S1. </w:t>
      </w:r>
      <w:r w:rsidRPr="00775EF2">
        <w:t>Polyphasic fluorescence</w:t>
      </w:r>
      <w:bookmarkStart w:id="0" w:name="_GoBack"/>
      <w:bookmarkEnd w:id="0"/>
      <w:r w:rsidRPr="00775EF2">
        <w:t xml:space="preserve"> rise (OJIP kinetics) of Col-0 and </w:t>
      </w:r>
      <w:r w:rsidRPr="00775EF2">
        <w:rPr>
          <w:i/>
        </w:rPr>
        <w:t>Arabidopsis</w:t>
      </w:r>
      <w:r w:rsidRPr="00775EF2">
        <w:t xml:space="preserve"> 23-day-old plants ectopically expressing rice </w:t>
      </w:r>
      <w:r w:rsidRPr="00775EF2">
        <w:rPr>
          <w:i/>
        </w:rPr>
        <w:t xml:space="preserve">SUB1A-1 </w:t>
      </w:r>
      <w:r w:rsidRPr="00775EF2">
        <w:t xml:space="preserve">and </w:t>
      </w:r>
      <w:r w:rsidRPr="00775EF2">
        <w:rPr>
          <w:i/>
        </w:rPr>
        <w:t xml:space="preserve">SUB1C-1 </w:t>
      </w:r>
      <w:r w:rsidRPr="00775EF2">
        <w:t>genes. Values are means of two independent experimental replicates, each with n=5 plants. Error bars are ±S.D.</w:t>
      </w:r>
    </w:p>
    <w:p w:rsidR="00012BD5" w:rsidRPr="00775EF2" w:rsidRDefault="00012BD5" w:rsidP="00012BD5">
      <w:pPr>
        <w:spacing w:line="360" w:lineRule="auto"/>
      </w:pPr>
    </w:p>
    <w:tbl>
      <w:tblPr>
        <w:tblStyle w:val="Tablaconcuadrcula"/>
        <w:tblW w:w="0" w:type="auto"/>
        <w:tblLook w:val="01E0" w:firstRow="1" w:lastRow="1" w:firstColumn="1" w:lastColumn="1" w:noHBand="0" w:noVBand="0"/>
      </w:tblPr>
      <w:tblGrid>
        <w:gridCol w:w="1771"/>
        <w:gridCol w:w="1771"/>
        <w:gridCol w:w="1771"/>
        <w:gridCol w:w="1771"/>
        <w:gridCol w:w="1772"/>
      </w:tblGrid>
      <w:tr w:rsidR="00012BD5" w:rsidRPr="00775EF2" w:rsidTr="007B3FD7">
        <w:tc>
          <w:tcPr>
            <w:tcW w:w="1771" w:type="dxa"/>
          </w:tcPr>
          <w:p w:rsidR="00012BD5" w:rsidRPr="00775EF2" w:rsidRDefault="00012BD5" w:rsidP="007B3FD7">
            <w:pPr>
              <w:spacing w:line="360" w:lineRule="auto"/>
              <w:rPr>
                <w:b/>
              </w:rPr>
            </w:pPr>
            <w:r w:rsidRPr="00775EF2">
              <w:rPr>
                <w:b/>
              </w:rPr>
              <w:t>Genotype</w:t>
            </w:r>
          </w:p>
        </w:tc>
        <w:tc>
          <w:tcPr>
            <w:tcW w:w="1771" w:type="dxa"/>
          </w:tcPr>
          <w:p w:rsidR="00012BD5" w:rsidRPr="00775EF2" w:rsidRDefault="00012BD5" w:rsidP="007B3FD7">
            <w:pPr>
              <w:spacing w:line="360" w:lineRule="auto"/>
              <w:rPr>
                <w:b/>
              </w:rPr>
            </w:pPr>
            <w:r w:rsidRPr="00775EF2">
              <w:rPr>
                <w:b/>
              </w:rPr>
              <w:t>Fv/Fm</w:t>
            </w:r>
          </w:p>
        </w:tc>
        <w:tc>
          <w:tcPr>
            <w:tcW w:w="1771" w:type="dxa"/>
          </w:tcPr>
          <w:p w:rsidR="00012BD5" w:rsidRPr="00775EF2" w:rsidRDefault="00012BD5" w:rsidP="007B3FD7">
            <w:pPr>
              <w:spacing w:line="360" w:lineRule="auto"/>
              <w:rPr>
                <w:b/>
              </w:rPr>
            </w:pPr>
            <w:r w:rsidRPr="00775EF2">
              <w:rPr>
                <w:b/>
              </w:rPr>
              <w:t>Fm</w:t>
            </w:r>
          </w:p>
        </w:tc>
        <w:tc>
          <w:tcPr>
            <w:tcW w:w="1771" w:type="dxa"/>
          </w:tcPr>
          <w:p w:rsidR="00012BD5" w:rsidRPr="00775EF2" w:rsidRDefault="00012BD5" w:rsidP="007B3FD7">
            <w:pPr>
              <w:spacing w:line="360" w:lineRule="auto"/>
              <w:rPr>
                <w:b/>
              </w:rPr>
            </w:pPr>
            <w:r w:rsidRPr="00775EF2">
              <w:rPr>
                <w:b/>
              </w:rPr>
              <w:t>Fo</w:t>
            </w:r>
          </w:p>
        </w:tc>
        <w:tc>
          <w:tcPr>
            <w:tcW w:w="1772" w:type="dxa"/>
          </w:tcPr>
          <w:p w:rsidR="00012BD5" w:rsidRPr="00775EF2" w:rsidRDefault="00012BD5" w:rsidP="007B3FD7">
            <w:pPr>
              <w:spacing w:line="360" w:lineRule="auto"/>
              <w:rPr>
                <w:b/>
              </w:rPr>
            </w:pPr>
            <w:r w:rsidRPr="00775EF2">
              <w:rPr>
                <w:b/>
              </w:rPr>
              <w:t>Fv/Fo</w:t>
            </w:r>
          </w:p>
        </w:tc>
      </w:tr>
      <w:tr w:rsidR="00012BD5" w:rsidRPr="00775EF2" w:rsidTr="007B3FD7">
        <w:tc>
          <w:tcPr>
            <w:tcW w:w="1771" w:type="dxa"/>
            <w:vAlign w:val="center"/>
          </w:tcPr>
          <w:p w:rsidR="00012BD5" w:rsidRPr="00775EF2" w:rsidRDefault="00012BD5" w:rsidP="007B3FD7">
            <w:pPr>
              <w:spacing w:line="360" w:lineRule="auto"/>
            </w:pPr>
            <w:r w:rsidRPr="00775EF2">
              <w:rPr>
                <w:lang w:val="es-MX"/>
              </w:rPr>
              <w:t>Col-0</w:t>
            </w:r>
          </w:p>
        </w:tc>
        <w:tc>
          <w:tcPr>
            <w:tcW w:w="1771" w:type="dxa"/>
            <w:vAlign w:val="center"/>
          </w:tcPr>
          <w:p w:rsidR="00012BD5" w:rsidRPr="00775EF2" w:rsidRDefault="00012BD5" w:rsidP="007B3FD7">
            <w:pPr>
              <w:spacing w:line="360" w:lineRule="auto"/>
            </w:pPr>
            <w:r w:rsidRPr="00775EF2">
              <w:rPr>
                <w:lang w:val="es-MX"/>
              </w:rPr>
              <w:t>0.7921 ±0.0032</w:t>
            </w:r>
          </w:p>
        </w:tc>
        <w:tc>
          <w:tcPr>
            <w:tcW w:w="1771" w:type="dxa"/>
            <w:vAlign w:val="center"/>
          </w:tcPr>
          <w:p w:rsidR="00012BD5" w:rsidRPr="00775EF2" w:rsidRDefault="00012BD5" w:rsidP="007B3FD7">
            <w:pPr>
              <w:spacing w:line="360" w:lineRule="auto"/>
            </w:pPr>
            <w:r w:rsidRPr="00775EF2">
              <w:rPr>
                <w:lang w:val="es-MX"/>
              </w:rPr>
              <w:t>800.3 ±13.7</w:t>
            </w:r>
          </w:p>
        </w:tc>
        <w:tc>
          <w:tcPr>
            <w:tcW w:w="1771" w:type="dxa"/>
            <w:vAlign w:val="center"/>
          </w:tcPr>
          <w:p w:rsidR="00012BD5" w:rsidRPr="00775EF2" w:rsidRDefault="00012BD5" w:rsidP="007B3FD7">
            <w:pPr>
              <w:spacing w:line="360" w:lineRule="auto"/>
            </w:pPr>
            <w:r w:rsidRPr="00775EF2">
              <w:rPr>
                <w:lang w:val="es-MX"/>
              </w:rPr>
              <w:t>165.7 ±2.2</w:t>
            </w:r>
          </w:p>
        </w:tc>
        <w:tc>
          <w:tcPr>
            <w:tcW w:w="1772" w:type="dxa"/>
            <w:vAlign w:val="center"/>
          </w:tcPr>
          <w:p w:rsidR="00012BD5" w:rsidRPr="00775EF2" w:rsidRDefault="00012BD5" w:rsidP="007B3FD7">
            <w:pPr>
              <w:spacing w:line="360" w:lineRule="auto"/>
            </w:pPr>
            <w:r w:rsidRPr="00775EF2">
              <w:rPr>
                <w:lang w:val="es-MX"/>
              </w:rPr>
              <w:t>3.8315 ±0.07</w:t>
            </w:r>
          </w:p>
        </w:tc>
      </w:tr>
      <w:tr w:rsidR="00012BD5" w:rsidRPr="00775EF2" w:rsidTr="007B3FD7">
        <w:tc>
          <w:tcPr>
            <w:tcW w:w="1771" w:type="dxa"/>
            <w:vAlign w:val="center"/>
          </w:tcPr>
          <w:p w:rsidR="00012BD5" w:rsidRPr="00775EF2" w:rsidRDefault="00012BD5" w:rsidP="007B3FD7">
            <w:pPr>
              <w:spacing w:line="360" w:lineRule="auto"/>
            </w:pPr>
            <w:r w:rsidRPr="00775EF2">
              <w:rPr>
                <w:i/>
                <w:lang w:val="es-MX"/>
              </w:rPr>
              <w:t>OxSUB1A</w:t>
            </w:r>
            <w:r w:rsidRPr="00775EF2">
              <w:rPr>
                <w:lang w:val="es-MX"/>
              </w:rPr>
              <w:t>-L5</w:t>
            </w:r>
          </w:p>
        </w:tc>
        <w:tc>
          <w:tcPr>
            <w:tcW w:w="1771" w:type="dxa"/>
            <w:vAlign w:val="center"/>
          </w:tcPr>
          <w:p w:rsidR="00012BD5" w:rsidRPr="00775EF2" w:rsidRDefault="00012BD5" w:rsidP="007B3FD7">
            <w:pPr>
              <w:spacing w:line="360" w:lineRule="auto"/>
            </w:pPr>
            <w:r w:rsidRPr="00775EF2">
              <w:rPr>
                <w:lang w:val="es-MX"/>
              </w:rPr>
              <w:t>0.8067 ±0.0026</w:t>
            </w:r>
          </w:p>
        </w:tc>
        <w:tc>
          <w:tcPr>
            <w:tcW w:w="1771" w:type="dxa"/>
            <w:vAlign w:val="center"/>
          </w:tcPr>
          <w:p w:rsidR="00012BD5" w:rsidRPr="00775EF2" w:rsidRDefault="00012BD5" w:rsidP="007B3FD7">
            <w:pPr>
              <w:spacing w:line="360" w:lineRule="auto"/>
            </w:pPr>
            <w:r w:rsidRPr="00775EF2">
              <w:rPr>
                <w:lang w:val="es-MX"/>
              </w:rPr>
              <w:t>771.8 ±19.7</w:t>
            </w:r>
          </w:p>
        </w:tc>
        <w:tc>
          <w:tcPr>
            <w:tcW w:w="1771" w:type="dxa"/>
            <w:vAlign w:val="center"/>
          </w:tcPr>
          <w:p w:rsidR="00012BD5" w:rsidRPr="00775EF2" w:rsidRDefault="00012BD5" w:rsidP="007B3FD7">
            <w:pPr>
              <w:spacing w:line="360" w:lineRule="auto"/>
            </w:pPr>
            <w:r w:rsidRPr="00775EF2">
              <w:rPr>
                <w:lang w:val="es-MX"/>
              </w:rPr>
              <w:t>148.8 ±4.0</w:t>
            </w:r>
          </w:p>
        </w:tc>
        <w:tc>
          <w:tcPr>
            <w:tcW w:w="1772" w:type="dxa"/>
            <w:vAlign w:val="center"/>
          </w:tcPr>
          <w:p w:rsidR="00012BD5" w:rsidRPr="00775EF2" w:rsidRDefault="00012BD5" w:rsidP="007B3FD7">
            <w:pPr>
              <w:spacing w:line="360" w:lineRule="auto"/>
            </w:pPr>
            <w:r w:rsidRPr="00775EF2">
              <w:rPr>
                <w:lang w:val="es-MX"/>
              </w:rPr>
              <w:t>4.1941 ±0.07</w:t>
            </w:r>
          </w:p>
        </w:tc>
      </w:tr>
      <w:tr w:rsidR="00012BD5" w:rsidRPr="00775EF2" w:rsidTr="007B3FD7">
        <w:tc>
          <w:tcPr>
            <w:tcW w:w="1771" w:type="dxa"/>
            <w:vAlign w:val="center"/>
          </w:tcPr>
          <w:p w:rsidR="00012BD5" w:rsidRPr="00775EF2" w:rsidRDefault="00012BD5" w:rsidP="007B3FD7">
            <w:pPr>
              <w:spacing w:line="360" w:lineRule="auto"/>
            </w:pPr>
            <w:r w:rsidRPr="00775EF2">
              <w:rPr>
                <w:i/>
                <w:lang w:val="es-MX"/>
              </w:rPr>
              <w:t>OxSUB1A</w:t>
            </w:r>
            <w:r w:rsidRPr="00775EF2">
              <w:rPr>
                <w:lang w:val="es-MX"/>
              </w:rPr>
              <w:t>-L12</w:t>
            </w:r>
          </w:p>
        </w:tc>
        <w:tc>
          <w:tcPr>
            <w:tcW w:w="1771" w:type="dxa"/>
            <w:vAlign w:val="center"/>
          </w:tcPr>
          <w:p w:rsidR="00012BD5" w:rsidRPr="00775EF2" w:rsidRDefault="00012BD5" w:rsidP="007B3FD7">
            <w:pPr>
              <w:spacing w:line="360" w:lineRule="auto"/>
            </w:pPr>
            <w:r w:rsidRPr="00775EF2">
              <w:rPr>
                <w:lang w:val="es-MX"/>
              </w:rPr>
              <w:t>0.7865 ±0.0044</w:t>
            </w:r>
          </w:p>
        </w:tc>
        <w:tc>
          <w:tcPr>
            <w:tcW w:w="1771" w:type="dxa"/>
            <w:vAlign w:val="center"/>
          </w:tcPr>
          <w:p w:rsidR="00012BD5" w:rsidRPr="00775EF2" w:rsidRDefault="00012BD5" w:rsidP="007B3FD7">
            <w:pPr>
              <w:spacing w:line="360" w:lineRule="auto"/>
            </w:pPr>
            <w:r w:rsidRPr="00775EF2">
              <w:rPr>
                <w:lang w:val="es-MX"/>
              </w:rPr>
              <w:t>825.6 ±20.4</w:t>
            </w:r>
          </w:p>
        </w:tc>
        <w:tc>
          <w:tcPr>
            <w:tcW w:w="1771" w:type="dxa"/>
            <w:vAlign w:val="center"/>
          </w:tcPr>
          <w:p w:rsidR="00012BD5" w:rsidRPr="00775EF2" w:rsidRDefault="00012BD5" w:rsidP="007B3FD7">
            <w:pPr>
              <w:spacing w:line="360" w:lineRule="auto"/>
            </w:pPr>
            <w:r w:rsidRPr="00775EF2">
              <w:rPr>
                <w:lang w:val="es-MX"/>
              </w:rPr>
              <w:t>175.3 ±2.7</w:t>
            </w:r>
          </w:p>
        </w:tc>
        <w:tc>
          <w:tcPr>
            <w:tcW w:w="1772" w:type="dxa"/>
            <w:vAlign w:val="center"/>
          </w:tcPr>
          <w:p w:rsidR="00012BD5" w:rsidRPr="00775EF2" w:rsidRDefault="00012BD5" w:rsidP="007B3FD7">
            <w:pPr>
              <w:spacing w:line="360" w:lineRule="auto"/>
            </w:pPr>
            <w:r w:rsidRPr="00775EF2">
              <w:rPr>
                <w:lang w:val="es-MX"/>
              </w:rPr>
              <w:t>3.7087 ±0.08</w:t>
            </w:r>
          </w:p>
        </w:tc>
      </w:tr>
      <w:tr w:rsidR="00012BD5" w:rsidRPr="00775EF2" w:rsidTr="007B3FD7">
        <w:tc>
          <w:tcPr>
            <w:tcW w:w="1771" w:type="dxa"/>
            <w:vAlign w:val="center"/>
          </w:tcPr>
          <w:p w:rsidR="00012BD5" w:rsidRPr="00775EF2" w:rsidRDefault="00012BD5" w:rsidP="007B3FD7">
            <w:pPr>
              <w:spacing w:line="360" w:lineRule="auto"/>
            </w:pPr>
            <w:r w:rsidRPr="00775EF2">
              <w:rPr>
                <w:i/>
                <w:lang w:val="es-MX"/>
              </w:rPr>
              <w:t>OxSUB1C</w:t>
            </w:r>
            <w:r w:rsidRPr="00775EF2">
              <w:rPr>
                <w:lang w:val="es-MX"/>
              </w:rPr>
              <w:t>-L6</w:t>
            </w:r>
          </w:p>
        </w:tc>
        <w:tc>
          <w:tcPr>
            <w:tcW w:w="1771" w:type="dxa"/>
            <w:vAlign w:val="center"/>
          </w:tcPr>
          <w:p w:rsidR="00012BD5" w:rsidRPr="00775EF2" w:rsidRDefault="00012BD5" w:rsidP="007B3FD7">
            <w:pPr>
              <w:spacing w:line="360" w:lineRule="auto"/>
            </w:pPr>
            <w:r w:rsidRPr="00775EF2">
              <w:rPr>
                <w:lang w:val="es-MX"/>
              </w:rPr>
              <w:t>0.7976 ±0.0023</w:t>
            </w:r>
          </w:p>
        </w:tc>
        <w:tc>
          <w:tcPr>
            <w:tcW w:w="1771" w:type="dxa"/>
            <w:vAlign w:val="center"/>
          </w:tcPr>
          <w:p w:rsidR="00012BD5" w:rsidRPr="00775EF2" w:rsidRDefault="00012BD5" w:rsidP="007B3FD7">
            <w:pPr>
              <w:spacing w:line="360" w:lineRule="auto"/>
            </w:pPr>
            <w:r w:rsidRPr="00775EF2">
              <w:rPr>
                <w:lang w:val="es-MX"/>
              </w:rPr>
              <w:t>894.8 ±24.2</w:t>
            </w:r>
          </w:p>
        </w:tc>
        <w:tc>
          <w:tcPr>
            <w:tcW w:w="1771" w:type="dxa"/>
            <w:vAlign w:val="center"/>
          </w:tcPr>
          <w:p w:rsidR="00012BD5" w:rsidRPr="00775EF2" w:rsidRDefault="00012BD5" w:rsidP="007B3FD7">
            <w:pPr>
              <w:spacing w:line="360" w:lineRule="auto"/>
            </w:pPr>
            <w:r w:rsidRPr="00775EF2">
              <w:rPr>
                <w:lang w:val="es-MX"/>
              </w:rPr>
              <w:t>180.6 ±3.9</w:t>
            </w:r>
          </w:p>
        </w:tc>
        <w:tc>
          <w:tcPr>
            <w:tcW w:w="1772" w:type="dxa"/>
            <w:vAlign w:val="center"/>
          </w:tcPr>
          <w:p w:rsidR="00012BD5" w:rsidRPr="00775EF2" w:rsidRDefault="00012BD5" w:rsidP="007B3FD7">
            <w:pPr>
              <w:spacing w:line="360" w:lineRule="auto"/>
            </w:pPr>
            <w:r w:rsidRPr="00775EF2">
              <w:rPr>
                <w:lang w:val="es-MX"/>
              </w:rPr>
              <w:t>3.9530 ±0.05</w:t>
            </w:r>
          </w:p>
        </w:tc>
      </w:tr>
      <w:tr w:rsidR="00012BD5" w:rsidRPr="00775EF2" w:rsidTr="007B3FD7">
        <w:tc>
          <w:tcPr>
            <w:tcW w:w="1771" w:type="dxa"/>
            <w:vAlign w:val="center"/>
          </w:tcPr>
          <w:p w:rsidR="00012BD5" w:rsidRPr="00775EF2" w:rsidRDefault="00012BD5" w:rsidP="007B3FD7">
            <w:pPr>
              <w:spacing w:line="360" w:lineRule="auto"/>
            </w:pPr>
            <w:r w:rsidRPr="00775EF2">
              <w:rPr>
                <w:i/>
                <w:lang w:val="es-MX"/>
              </w:rPr>
              <w:t>OxSUB1C</w:t>
            </w:r>
            <w:r w:rsidRPr="00775EF2">
              <w:rPr>
                <w:lang w:val="es-MX"/>
              </w:rPr>
              <w:t>-L10</w:t>
            </w:r>
          </w:p>
        </w:tc>
        <w:tc>
          <w:tcPr>
            <w:tcW w:w="1771" w:type="dxa"/>
            <w:vAlign w:val="center"/>
          </w:tcPr>
          <w:p w:rsidR="00012BD5" w:rsidRPr="00775EF2" w:rsidRDefault="00012BD5" w:rsidP="007B3FD7">
            <w:pPr>
              <w:spacing w:line="360" w:lineRule="auto"/>
            </w:pPr>
            <w:r w:rsidRPr="00775EF2">
              <w:rPr>
                <w:lang w:val="es-MX"/>
              </w:rPr>
              <w:t>0.7840 ±0.0046</w:t>
            </w:r>
          </w:p>
        </w:tc>
        <w:tc>
          <w:tcPr>
            <w:tcW w:w="1771" w:type="dxa"/>
            <w:vAlign w:val="center"/>
          </w:tcPr>
          <w:p w:rsidR="00012BD5" w:rsidRPr="00775EF2" w:rsidRDefault="00012BD5" w:rsidP="007B3FD7">
            <w:pPr>
              <w:spacing w:line="360" w:lineRule="auto"/>
            </w:pPr>
            <w:r w:rsidRPr="00775EF2">
              <w:rPr>
                <w:lang w:val="es-MX"/>
              </w:rPr>
              <w:t>772.4 ±25.2</w:t>
            </w:r>
          </w:p>
        </w:tc>
        <w:tc>
          <w:tcPr>
            <w:tcW w:w="1771" w:type="dxa"/>
            <w:vAlign w:val="center"/>
          </w:tcPr>
          <w:p w:rsidR="00012BD5" w:rsidRPr="00775EF2" w:rsidRDefault="00012BD5" w:rsidP="007B3FD7">
            <w:pPr>
              <w:spacing w:line="360" w:lineRule="auto"/>
            </w:pPr>
            <w:r w:rsidRPr="00775EF2">
              <w:rPr>
                <w:lang w:val="es-MX"/>
              </w:rPr>
              <w:t>167.8 ±6.4</w:t>
            </w:r>
          </w:p>
        </w:tc>
        <w:tc>
          <w:tcPr>
            <w:tcW w:w="1772" w:type="dxa"/>
            <w:vAlign w:val="center"/>
          </w:tcPr>
          <w:p w:rsidR="00012BD5" w:rsidRPr="00775EF2" w:rsidRDefault="00012BD5" w:rsidP="007B3FD7">
            <w:pPr>
              <w:spacing w:line="360" w:lineRule="auto"/>
            </w:pPr>
            <w:r w:rsidRPr="00775EF2">
              <w:rPr>
                <w:lang w:val="es-MX"/>
              </w:rPr>
              <w:t>3.7232 ±0.09</w:t>
            </w:r>
          </w:p>
        </w:tc>
      </w:tr>
    </w:tbl>
    <w:p w:rsidR="00012BD5" w:rsidRPr="00775EF2" w:rsidRDefault="00012BD5" w:rsidP="00012BD5">
      <w:pPr>
        <w:spacing w:line="360" w:lineRule="auto"/>
      </w:pPr>
    </w:p>
    <w:p w:rsidR="008E50C7" w:rsidRDefault="008E50C7"/>
    <w:sectPr w:rsidR="008E50C7" w:rsidSect="00012BD5">
      <w:footerReference w:type="even" r:id="rId8"/>
      <w:footerReference w:type="default" r:id="rId9"/>
      <w:pgSz w:w="11900" w:h="16840"/>
      <w:pgMar w:top="1418" w:right="1418" w:bottom="1418" w:left="1418"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ADE" w:rsidRDefault="00012BD5" w:rsidP="00DE4CF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5ADE" w:rsidRDefault="00012BD5" w:rsidP="00DE4CF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ADE" w:rsidRDefault="00012BD5" w:rsidP="00DE4CF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A5ADE" w:rsidRDefault="00012BD5" w:rsidP="00DE4CF8">
    <w:pPr>
      <w:pStyle w:val="Piedepgina"/>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BD5"/>
    <w:rsid w:val="00012BD5"/>
    <w:rsid w:val="008E50C7"/>
    <w:rsid w:val="00A25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F945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BD5"/>
    <w:rPr>
      <w:rFonts w:ascii="Times New Roman" w:eastAsia="MS Mincho" w:hAnsi="Times New Roman" w:cs="Times New Roman"/>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12BD5"/>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012BD5"/>
    <w:pPr>
      <w:tabs>
        <w:tab w:val="center" w:pos="4419"/>
        <w:tab w:val="right" w:pos="8838"/>
      </w:tabs>
    </w:pPr>
  </w:style>
  <w:style w:type="character" w:customStyle="1" w:styleId="PiedepginaCar">
    <w:name w:val="Pie de página Car"/>
    <w:basedOn w:val="Fuentedeprrafopredeter"/>
    <w:link w:val="Piedepgina"/>
    <w:uiPriority w:val="99"/>
    <w:rsid w:val="00012BD5"/>
    <w:rPr>
      <w:rFonts w:ascii="Times New Roman" w:eastAsia="MS Mincho" w:hAnsi="Times New Roman" w:cs="Times New Roman"/>
      <w:lang w:eastAsia="ja-JP"/>
    </w:rPr>
  </w:style>
  <w:style w:type="character" w:styleId="Nmerodepgina">
    <w:name w:val="page number"/>
    <w:basedOn w:val="Fuentedeprrafopredeter"/>
    <w:uiPriority w:val="99"/>
    <w:semiHidden/>
    <w:unhideWhenUsed/>
    <w:rsid w:val="00012BD5"/>
  </w:style>
  <w:style w:type="paragraph" w:styleId="Textodeglobo">
    <w:name w:val="Balloon Text"/>
    <w:basedOn w:val="Normal"/>
    <w:link w:val="TextodegloboCar"/>
    <w:uiPriority w:val="99"/>
    <w:semiHidden/>
    <w:unhideWhenUsed/>
    <w:rsid w:val="00012BD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BD5"/>
    <w:rPr>
      <w:rFonts w:ascii="Lucida Grande" w:eastAsia="MS Mincho" w:hAnsi="Lucida Grande" w:cs="Lucida Grande"/>
      <w:sz w:val="18"/>
      <w:szCs w:val="18"/>
      <w:lang w:eastAsia="ja-JP"/>
    </w:rPr>
  </w:style>
  <w:style w:type="character" w:styleId="Nmerodelnea">
    <w:name w:val="line number"/>
    <w:basedOn w:val="Fuentedeprrafopredeter"/>
    <w:uiPriority w:val="99"/>
    <w:semiHidden/>
    <w:unhideWhenUsed/>
    <w:rsid w:val="00012B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BD5"/>
    <w:rPr>
      <w:rFonts w:ascii="Times New Roman" w:eastAsia="MS Mincho" w:hAnsi="Times New Roman" w:cs="Times New Roman"/>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12BD5"/>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012BD5"/>
    <w:pPr>
      <w:tabs>
        <w:tab w:val="center" w:pos="4419"/>
        <w:tab w:val="right" w:pos="8838"/>
      </w:tabs>
    </w:pPr>
  </w:style>
  <w:style w:type="character" w:customStyle="1" w:styleId="PiedepginaCar">
    <w:name w:val="Pie de página Car"/>
    <w:basedOn w:val="Fuentedeprrafopredeter"/>
    <w:link w:val="Piedepgina"/>
    <w:uiPriority w:val="99"/>
    <w:rsid w:val="00012BD5"/>
    <w:rPr>
      <w:rFonts w:ascii="Times New Roman" w:eastAsia="MS Mincho" w:hAnsi="Times New Roman" w:cs="Times New Roman"/>
      <w:lang w:eastAsia="ja-JP"/>
    </w:rPr>
  </w:style>
  <w:style w:type="character" w:styleId="Nmerodepgina">
    <w:name w:val="page number"/>
    <w:basedOn w:val="Fuentedeprrafopredeter"/>
    <w:uiPriority w:val="99"/>
    <w:semiHidden/>
    <w:unhideWhenUsed/>
    <w:rsid w:val="00012BD5"/>
  </w:style>
  <w:style w:type="paragraph" w:styleId="Textodeglobo">
    <w:name w:val="Balloon Text"/>
    <w:basedOn w:val="Normal"/>
    <w:link w:val="TextodegloboCar"/>
    <w:uiPriority w:val="99"/>
    <w:semiHidden/>
    <w:unhideWhenUsed/>
    <w:rsid w:val="00012BD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2BD5"/>
    <w:rPr>
      <w:rFonts w:ascii="Lucida Grande" w:eastAsia="MS Mincho" w:hAnsi="Lucida Grande" w:cs="Lucida Grande"/>
      <w:sz w:val="18"/>
      <w:szCs w:val="18"/>
      <w:lang w:eastAsia="ja-JP"/>
    </w:rPr>
  </w:style>
  <w:style w:type="character" w:styleId="Nmerodelnea">
    <w:name w:val="line number"/>
    <w:basedOn w:val="Fuentedeprrafopredeter"/>
    <w:uiPriority w:val="99"/>
    <w:semiHidden/>
    <w:unhideWhenUsed/>
    <w:rsid w:val="00012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304</Words>
  <Characters>1678</Characters>
  <Application>Microsoft Macintosh Word</Application>
  <DocSecurity>0</DocSecurity>
  <Lines>13</Lines>
  <Paragraphs>3</Paragraphs>
  <ScaleCrop>false</ScaleCrop>
  <Company>Beagle</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Darwin</dc:creator>
  <cp:keywords/>
  <dc:description/>
  <cp:lastModifiedBy>Charles Darwin</cp:lastModifiedBy>
  <cp:revision>1</cp:revision>
  <dcterms:created xsi:type="dcterms:W3CDTF">2014-12-20T02:35:00Z</dcterms:created>
  <dcterms:modified xsi:type="dcterms:W3CDTF">2014-12-20T02:35:00Z</dcterms:modified>
</cp:coreProperties>
</file>