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AE" w:rsidRPr="00CE4AAE" w:rsidRDefault="00CE4AAE" w:rsidP="00CE4AAE">
      <w:pPr>
        <w:pStyle w:val="Caption"/>
        <w:keepNext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E4AA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Supplementary Table </w:t>
      </w:r>
      <w:r w:rsidRPr="00CE4AA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CE4AA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Table \* ARABIC </w:instrText>
      </w:r>
      <w:r w:rsidRPr="00CE4AA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Pr="00CE4AAE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</w:t>
      </w:r>
      <w:r w:rsidRPr="00CE4AA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CE4AA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="007F6EB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The SEPP1 Sec </w:t>
      </w:r>
      <w:r w:rsidR="009D410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content, selenium requirements, and the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biomarker</w:t>
      </w:r>
      <w:r w:rsidR="00803BA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s,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statistical method</w:t>
      </w:r>
      <w:r w:rsidR="00803BA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</w:t>
      </w:r>
      <w:r w:rsidR="00803BA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nd the selenium species used to assess the selenium requirements of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species included in this study.</w:t>
      </w:r>
    </w:p>
    <w:tbl>
      <w:tblPr>
        <w:tblStyle w:val="TableGrid"/>
        <w:tblW w:w="16023" w:type="dxa"/>
        <w:tblInd w:w="-12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51"/>
        <w:gridCol w:w="1275"/>
        <w:gridCol w:w="3974"/>
        <w:gridCol w:w="1985"/>
        <w:gridCol w:w="1276"/>
        <w:gridCol w:w="2409"/>
      </w:tblGrid>
      <w:tr w:rsidR="00420E91" w:rsidRPr="00420E91" w:rsidTr="00554C88">
        <w:trPr>
          <w:trHeight w:val="4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6452" w:rsidRPr="00420E91" w:rsidRDefault="00F06452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06452" w:rsidRPr="00420E91" w:rsidRDefault="00F06452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6452" w:rsidRPr="00420E91" w:rsidRDefault="00F06452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 xml:space="preserve">Sec </w:t>
            </w:r>
            <w:r w:rsidR="005A74AC" w:rsidRPr="00420E91">
              <w:rPr>
                <w:rFonts w:ascii="Times New Roman" w:hAnsi="Times New Roman" w:cs="Times New Roman"/>
                <w:sz w:val="20"/>
                <w:szCs w:val="20"/>
              </w:rPr>
              <w:t>in SEPP</w:t>
            </w:r>
            <w:r w:rsidR="00D21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6452" w:rsidRPr="00420E91" w:rsidRDefault="00F06452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Se </w:t>
            </w:r>
            <w:r w:rsidR="005A74AC" w:rsidRPr="00420E91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requi</w:t>
            </w:r>
            <w:r w:rsidR="00D51EF1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re.</w:t>
            </w:r>
          </w:p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(mg/kg DM)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F06452" w:rsidRPr="00420E91" w:rsidRDefault="00F06452" w:rsidP="001358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Biomarker*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06452" w:rsidRPr="00420E91" w:rsidRDefault="00F06452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Statistical method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6452" w:rsidRPr="00420E91" w:rsidRDefault="00F06452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Se species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06452" w:rsidRPr="00420E91" w:rsidRDefault="00F06452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420E91" w:rsidRPr="00420E91" w:rsidTr="00554C88">
        <w:trPr>
          <w:trHeight w:val="21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5A74AC" w:rsidRPr="00420E91" w:rsidRDefault="005A74AC" w:rsidP="00420E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b/>
                <w:sz w:val="20"/>
                <w:szCs w:val="20"/>
              </w:rPr>
              <w:t>Mammals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5A74AC" w:rsidRPr="00420E91" w:rsidRDefault="005A74AC" w:rsidP="0013586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Guinea pig (</w:t>
            </w:r>
            <w:r w:rsidRPr="00D51E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Cavia </w:t>
            </w:r>
            <w:r w:rsidRPr="00D51EF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porcellus</w:t>
            </w:r>
            <w:r w:rsidRPr="00420E9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135864" w:rsidRPr="0013586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5A74AC" w:rsidRPr="00420E91" w:rsidRDefault="00D51EF1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bottom"/>
          </w:tcPr>
          <w:p w:rsidR="005A74AC" w:rsidRPr="00420E91" w:rsidRDefault="00547B70" w:rsidP="00547B7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kidney </w:t>
            </w:r>
            <w:r w:rsidR="005A74AC" w:rsidRPr="00420E91">
              <w:rPr>
                <w:rFonts w:ascii="Times New Roman" w:hAnsi="Times New Roman" w:cs="Times New Roman"/>
                <w:sz w:val="20"/>
                <w:szCs w:val="20"/>
              </w:rPr>
              <w:t xml:space="preserve">TXNRD activity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420E91">
              <w:rPr>
                <w:rFonts w:ascii="Times New Roman" w:hAnsi="Times New Roman" w:cs="Times New Roman"/>
                <w:sz w:val="20"/>
                <w:szCs w:val="20"/>
              </w:rPr>
              <w:t>LR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SeO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A74AC" w:rsidRPr="00420E91" w:rsidRDefault="005A74AC" w:rsidP="003070B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070B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&lt;EndNote&gt;&lt;Cite&gt;&lt;Author&gt;Jensen&lt;/Author&gt;&lt;Year&gt;2008&lt;/Year&gt;&lt;RecNum&gt;1603&lt;/RecNum&gt;&lt;DisplayText&gt;(Jensen and Pallauf 2008)&lt;/DisplayText&gt;&lt;record&gt;&lt;rec-number&gt;1603&lt;/rec-number&gt;&lt;foreign-keys&gt;&lt;key app="EN" db-id="t5e520p5yp2fwbe0r2n5r90ua0ptss9s50s9" timestamp="1342772890"&gt;1603&lt;/key&gt;&lt;/foreign-keys&gt;&lt;ref-type name="Journal Article"&gt;17&lt;/ref-type&gt;&lt;contributors&gt;&lt;authors&gt;&lt;author&gt;Jensen, C.&lt;/author&gt;&lt;author&gt;Pallauf, J.&lt;/author&gt;&lt;/authors&gt;&lt;/contributors&gt;&lt;titles&gt;&lt;title&gt;&lt;style face="normal" font="default" size="100%"&gt;Estimation of the selenium requirement of growing guinea pigs (&lt;/style&gt;&lt;style face="italic" font="default" size="100%"&gt;Cavia porcellus&lt;/style&gt;&lt;style face="normal" font="default" size="100%"&gt;)&lt;/style&gt;&lt;/title&gt;&lt;secondary-title&gt;Journal of Animal Physiology and Animal Nutrition&lt;/secondary-title&gt;&lt;alt-title&gt;J Anim Physiol Anim Nutr&lt;/alt-title&gt;&lt;/titles&gt;&lt;periodical&gt;&lt;full-title&gt;Journal of Animal Physiology and Animal Nutrition&lt;/full-title&gt;&lt;/periodical&gt;&lt;pages&gt;481-491&lt;/pages&gt;&lt;volume&gt;92&lt;/volume&gt;&lt;number&gt;4&lt;/number&gt;&lt;keywords&gt;&lt;keyword&gt;guinea pig&lt;/keyword&gt;&lt;keyword&gt;selenium requirement&lt;/keyword&gt;&lt;keyword&gt;glutathione peroxidase&lt;/keyword&gt;&lt;keyword&gt;thioredoxin reductase&lt;/keyword&gt;&lt;keyword&gt;deiodinase&lt;/keyword&gt;&lt;keyword&gt;broken line model&lt;/keyword&gt;&lt;/keywords&gt;&lt;dates&gt;&lt;year&gt;2008&lt;/year&gt;&lt;/dates&gt;&lt;publisher&gt;Blackwell Publishing Ltd&lt;/publisher&gt;&lt;isbn&gt;1439-0396&lt;/isbn&gt;&lt;urls&gt;&lt;related-urls&gt;&lt;url&gt;http://dx.doi.org/10.1111/j.1439-0396.2007.00738.x&lt;/url&gt;&lt;/related-urls&gt;&lt;/urls&gt;&lt;electronic-resource-num&gt;10.1111/j.1439-0396.2007.00738.x&lt;/electronic-resource-num&gt;&lt;/record&gt;&lt;/Cite&gt;&lt;/EndNote&gt;</w:instrTex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70BE">
              <w:rPr>
                <w:rFonts w:ascii="Times New Roman" w:hAnsi="Times New Roman" w:cs="Times New Roman"/>
                <w:noProof/>
                <w:sz w:val="20"/>
                <w:szCs w:val="20"/>
              </w:rPr>
              <w:t>(Jensen and Pallauf 2008)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20E91" w:rsidRPr="00420E91" w:rsidTr="00554C88">
        <w:trPr>
          <w:trHeight w:val="209"/>
        </w:trPr>
        <w:tc>
          <w:tcPr>
            <w:tcW w:w="709" w:type="dxa"/>
            <w:vMerge/>
            <w:shd w:val="clear" w:color="auto" w:fill="BDD6EE" w:themeFill="accent1" w:themeFillTint="66"/>
          </w:tcPr>
          <w:p w:rsidR="005A74AC" w:rsidRPr="00420E91" w:rsidRDefault="005A74AC" w:rsidP="00420E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Brown rat (</w:t>
            </w:r>
            <w:r w:rsidRPr="00420E91">
              <w:rPr>
                <w:rFonts w:ascii="Times New Roman" w:hAnsi="Times New Roman" w:cs="Times New Roman"/>
                <w:i/>
                <w:iCs/>
                <w:color w:val="252525"/>
                <w:sz w:val="20"/>
                <w:szCs w:val="20"/>
                <w:shd w:val="clear" w:color="auto" w:fill="FFFFFF"/>
              </w:rPr>
              <w:t>Rattus norvegicus)</w:t>
            </w:r>
          </w:p>
        </w:tc>
        <w:tc>
          <w:tcPr>
            <w:tcW w:w="851" w:type="dxa"/>
            <w:vAlign w:val="bottom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bottom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3974" w:type="dxa"/>
            <w:vAlign w:val="bottom"/>
          </w:tcPr>
          <w:p w:rsidR="005A74AC" w:rsidRPr="00420E91" w:rsidRDefault="007F6EBD" w:rsidP="007F6EB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h</w:t>
            </w:r>
            <w:r w:rsidR="005A74AC" w:rsidRPr="00420E91">
              <w:rPr>
                <w:rFonts w:ascii="Times New Roman" w:hAnsi="Times New Roman" w:cs="Times New Roman"/>
                <w:sz w:val="20"/>
                <w:szCs w:val="20"/>
              </w:rPr>
              <w:t xml:space="preserve">epatic GPX activity </w:t>
            </w:r>
          </w:p>
        </w:tc>
        <w:tc>
          <w:tcPr>
            <w:tcW w:w="1985" w:type="dxa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ANOVA</w:t>
            </w:r>
          </w:p>
        </w:tc>
        <w:tc>
          <w:tcPr>
            <w:tcW w:w="1276" w:type="dxa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SeO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09" w:type="dxa"/>
          </w:tcPr>
          <w:p w:rsidR="005A74AC" w:rsidRPr="00420E91" w:rsidRDefault="005A74AC" w:rsidP="004B67A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PEVuZE5vdGU+PENpdGU+PEF1dGhvcj5XZWlzczwvQXV0aG9yPjxZZWFyPjE5OTY8L1llYXI+PFJl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</w:fldData>
              </w:fldChar>
            </w:r>
            <w:r w:rsidR="004B67A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4B67A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PEVuZE5vdGU+PENpdGU+PEF1dGhvcj5XZWlzczwvQXV0aG9yPjxZZWFyPjE5OTY8L1llYXI+PFJl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</w:fldData>
              </w:fldChar>
            </w:r>
            <w:r w:rsidR="004B67A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4B67A1">
              <w:rPr>
                <w:rFonts w:ascii="Times New Roman" w:hAnsi="Times New Roman" w:cs="Times New Roman"/>
                <w:sz w:val="20"/>
                <w:szCs w:val="20"/>
              </w:rPr>
            </w:r>
            <w:r w:rsidR="004B67A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67A1">
              <w:rPr>
                <w:rFonts w:ascii="Times New Roman" w:hAnsi="Times New Roman" w:cs="Times New Roman"/>
                <w:noProof/>
                <w:sz w:val="20"/>
                <w:szCs w:val="20"/>
              </w:rPr>
              <w:t>(Weiss et al., 1996; 1997)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20E91" w:rsidRPr="00420E91" w:rsidTr="00554C88">
        <w:trPr>
          <w:trHeight w:val="255"/>
        </w:trPr>
        <w:tc>
          <w:tcPr>
            <w:tcW w:w="709" w:type="dxa"/>
            <w:vMerge/>
            <w:shd w:val="clear" w:color="auto" w:fill="BDD6EE" w:themeFill="accent1" w:themeFillTint="66"/>
          </w:tcPr>
          <w:p w:rsidR="005A74AC" w:rsidRPr="00420E91" w:rsidRDefault="005A74AC" w:rsidP="00420E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5A74AC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Cs/>
                <w:color w:val="252525"/>
                <w:sz w:val="20"/>
                <w:szCs w:val="20"/>
                <w:shd w:val="clear" w:color="auto" w:fill="FFFFFF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Mouse (</w:t>
            </w:r>
            <w:r w:rsidRPr="00420E91">
              <w:rPr>
                <w:rFonts w:ascii="Times New Roman" w:hAnsi="Times New Roman" w:cs="Times New Roman"/>
                <w:i/>
                <w:iCs/>
                <w:color w:val="252525"/>
                <w:sz w:val="20"/>
                <w:szCs w:val="20"/>
                <w:shd w:val="clear" w:color="auto" w:fill="FFFFFF"/>
              </w:rPr>
              <w:t>Mus musculus</w:t>
            </w:r>
            <w:r w:rsidRPr="00420E91">
              <w:rPr>
                <w:rFonts w:ascii="Times New Roman" w:hAnsi="Times New Roman" w:cs="Times New Roman"/>
                <w:iCs/>
                <w:color w:val="252525"/>
                <w:sz w:val="20"/>
                <w:szCs w:val="20"/>
                <w:shd w:val="clear" w:color="auto" w:fill="FFFFFF"/>
              </w:rPr>
              <w:t>)</w:t>
            </w:r>
          </w:p>
          <w:p w:rsidR="00D42FE7" w:rsidRPr="00420E91" w:rsidRDefault="00D42FE7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A74AC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42FE7" w:rsidRPr="00420E91" w:rsidRDefault="00D42FE7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A74AC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  <w:p w:rsidR="00D42FE7" w:rsidRPr="00420E91" w:rsidRDefault="00D42FE7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vAlign w:val="bottom"/>
          </w:tcPr>
          <w:p w:rsidR="005A74AC" w:rsidRDefault="007F6EBD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A74AC" w:rsidRPr="00420E91">
              <w:rPr>
                <w:rFonts w:ascii="Times New Roman" w:hAnsi="Times New Roman" w:cs="Times New Roman"/>
                <w:sz w:val="20"/>
                <w:szCs w:val="20"/>
              </w:rPr>
              <w:t>otal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hepatic </w:t>
            </w:r>
            <w:r w:rsidR="005A74AC" w:rsidRPr="00420E91">
              <w:rPr>
                <w:rFonts w:ascii="Times New Roman" w:hAnsi="Times New Roman" w:cs="Times New Roman"/>
                <w:sz w:val="20"/>
                <w:szCs w:val="20"/>
              </w:rPr>
              <w:t xml:space="preserve">GPX activity </w:t>
            </w:r>
          </w:p>
          <w:p w:rsidR="00D42FE7" w:rsidRPr="00420E91" w:rsidRDefault="00D42FE7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ANOVA</w:t>
            </w:r>
          </w:p>
        </w:tc>
        <w:tc>
          <w:tcPr>
            <w:tcW w:w="1276" w:type="dxa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SeO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09" w:type="dxa"/>
          </w:tcPr>
          <w:p w:rsidR="005A74AC" w:rsidRPr="00420E91" w:rsidRDefault="005A74AC" w:rsidP="003070B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070B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&lt;EndNote&gt;&lt;Cite&gt;&lt;Author&gt;NRC&lt;/Author&gt;&lt;Year&gt;1995&lt;/Year&gt;&lt;RecNum&gt;2233&lt;/RecNum&gt;&lt;DisplayText&gt;(NRC 1995)&lt;/DisplayText&gt;&lt;record&gt;&lt;rec-number&gt;2233&lt;/rec-number&gt;&lt;foreign-keys&gt;&lt;key app="EN" db-id="t5e520p5yp2fwbe0r2n5r90ua0ptss9s50s9" timestamp="1404993680"&gt;2233&lt;/key&gt;&lt;/foreign-keys&gt;&lt;ref-type name="Book"&gt;6&lt;/ref-type&gt;&lt;contributors&gt;&lt;authors&gt;&lt;author&gt;NRC&lt;/author&gt;&lt;/authors&gt;&lt;/contributors&gt;&lt;titles&gt;&lt;title&gt;Nutrient requirements of laboratory animals&lt;/title&gt;&lt;/titles&gt;&lt;dates&gt;&lt;year&gt;1995&lt;/year&gt;&lt;/dates&gt;&lt;pub-location&gt;Washington DC&lt;/pub-location&gt;&lt;publisher&gt;National Academy Press&lt;/publisher&gt;&lt;urls&gt;&lt;/urls&gt;&lt;/record&gt;&lt;/Cite&gt;&lt;/EndNote&gt;</w:instrTex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70BE">
              <w:rPr>
                <w:rFonts w:ascii="Times New Roman" w:hAnsi="Times New Roman" w:cs="Times New Roman"/>
                <w:noProof/>
                <w:sz w:val="20"/>
                <w:szCs w:val="20"/>
              </w:rPr>
              <w:t>(NRC 1995)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 xml:space="preserve"> supported by 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&lt;EndNote&gt;&lt;Cite&gt;&lt;Author&gt;Sunde&lt;/Author&gt;&lt;Year&gt;2009&lt;/Year&gt;&lt;RecNum&gt;1276&lt;/RecNum&gt;&lt;DisplayText&gt;(Sunde et al., 2009)&lt;/DisplayText&gt;&lt;record&gt;&lt;rec-number&gt;1276&lt;/rec-number&gt;&lt;foreign-keys&gt;&lt;key app="EN" db-id="t5e520p5yp2fwbe0r2n5r90ua0ptss9s50s9" timestamp="1329471712"&gt;1276&lt;/key&gt;&lt;/foreign-keys&gt;&lt;ref-type name="Journal Article"&gt;17&lt;/ref-type&gt;&lt;contributors&gt;&lt;authors&gt;&lt;author&gt;Sunde,  Roger A.&lt;/author&gt;&lt;author&gt;Raines,  Anna M.&lt;/author&gt;&lt;author&gt;Barnes,  Kimberly M.&lt;/author&gt;&lt;author&gt;Evenson,  Jacqueline K.&lt;/author&gt;&lt;/authors&gt;&lt;/contributors&gt;&lt;titles&gt;&lt;title&gt;Selenium status highly regulates selenoprotein mRNA levels for only a subset of the selenoproteins in the selenoproteome &lt;/title&gt;&lt;secondary-title&gt;Bioscience Reports &lt;/secondary-title&gt;&lt;alt-title&gt;Bioscience Rep&lt;/alt-title&gt;&lt;/titles&gt;&lt;periodical&gt;&lt;full-title&gt;Bioscience Reports&lt;/full-title&gt;&lt;/periodical&gt;&lt;pages&gt;329-338&lt;/pages&gt;&lt;volume&gt;29&lt;/volume&gt;&lt;number&gt;5&lt;/number&gt;&lt;dates&gt;&lt;year&gt;2009&lt;/year&gt;&lt;/dates&gt;&lt;urls&gt;&lt;/urls&gt;&lt;electronic-resource-num&gt;10.1042/BSR20080146&lt;/electronic-resource-num&gt;&lt;/record&gt;&lt;/Cite&gt;&lt;/EndNote&gt;</w:instrTex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0E91">
              <w:rPr>
                <w:rFonts w:ascii="Times New Roman" w:hAnsi="Times New Roman" w:cs="Times New Roman"/>
                <w:noProof/>
                <w:sz w:val="20"/>
                <w:szCs w:val="20"/>
              </w:rPr>
              <w:t>(Sunde et al., 2009)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20E91" w:rsidRPr="00420E91" w:rsidTr="00554C88">
        <w:trPr>
          <w:trHeight w:val="252"/>
        </w:trPr>
        <w:tc>
          <w:tcPr>
            <w:tcW w:w="709" w:type="dxa"/>
            <w:vMerge/>
            <w:shd w:val="clear" w:color="auto" w:fill="BDD6EE" w:themeFill="accent1" w:themeFillTint="66"/>
          </w:tcPr>
          <w:p w:rsidR="005A74AC" w:rsidRPr="00420E91" w:rsidRDefault="005A74AC" w:rsidP="00420E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5A74AC" w:rsidRPr="00420E91" w:rsidRDefault="00420E91" w:rsidP="0013586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A74AC" w:rsidRPr="00420E91">
              <w:rPr>
                <w:rFonts w:ascii="Times New Roman" w:hAnsi="Times New Roman" w:cs="Times New Roman"/>
                <w:sz w:val="20"/>
                <w:szCs w:val="20"/>
              </w:rPr>
              <w:t>og (</w:t>
            </w:r>
            <w:r w:rsidR="005A74AC" w:rsidRPr="00420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Canis lupus familiaris</w:t>
            </w:r>
            <w:r w:rsidR="005A74AC" w:rsidRPr="00135864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135864" w:rsidRPr="00135864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Align w:val="bottom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bottom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3974" w:type="dxa"/>
            <w:vAlign w:val="bottom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Plasma serum Se concentration</w:t>
            </w:r>
          </w:p>
        </w:tc>
        <w:tc>
          <w:tcPr>
            <w:tcW w:w="1985" w:type="dxa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420E91">
              <w:rPr>
                <w:rFonts w:ascii="Times New Roman" w:hAnsi="Times New Roman" w:cs="Times New Roman"/>
                <w:sz w:val="20"/>
                <w:szCs w:val="20"/>
              </w:rPr>
              <w:t>LR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SeO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09" w:type="dxa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&lt;EndNote&gt;&lt;Cite&gt;&lt;Author&gt;Wedekind&lt;/Author&gt;&lt;Year&gt;2004&lt;/Year&gt;&lt;RecNum&gt;1735&lt;/RecNum&gt;&lt;DisplayText&gt;(Wedekind et al., 2004)&lt;/DisplayText&gt;&lt;record&gt;&lt;rec-number&gt;1735&lt;/rec-number&gt;&lt;foreign-keys&gt;&lt;key app="EN" db-id="t5e520p5yp2fwbe0r2n5r90ua0ptss9s50s9" timestamp="1345452267"&gt;1735&lt;/key&gt;&lt;/foreign-keys&gt;&lt;ref-type name="Journal Article"&gt;17&lt;/ref-type&gt;&lt;contributors&gt;&lt;authors&gt;&lt;author&gt;Wedekind, K. J.&lt;/author&gt;&lt;author&gt;Yu, S.&lt;/author&gt;&lt;author&gt;Combs, G. F.&lt;/author&gt;&lt;/authors&gt;&lt;/contributors&gt;&lt;titles&gt;&lt;title&gt;The selenium requirement of the puppy&lt;/title&gt;&lt;secondary-title&gt;Journal of Animal Physiology and Animal Nutrition&lt;/secondary-title&gt;&lt;alt-title&gt;J Anim Physiol Anim Nutr&lt;/alt-title&gt;&lt;/titles&gt;&lt;periodical&gt;&lt;full-title&gt;Journal of Animal Physiology and Animal Nutrition&lt;/full-title&gt;&lt;/periodical&gt;&lt;pages&gt;340-347&lt;/pages&gt;&lt;volume&gt;88&lt;/volume&gt;&lt;number&gt;9-10&lt;/number&gt;&lt;dates&gt;&lt;year&gt;2004&lt;/year&gt;&lt;pub-dates&gt;&lt;date&gt;Oct&lt;/date&gt;&lt;/pub-dates&gt;&lt;/dates&gt;&lt;isbn&gt;0931-2439&lt;/isbn&gt;&lt;accession-num&gt;WOS:000224068800004&lt;/accession-num&gt;&lt;urls&gt;&lt;related-urls&gt;&lt;url&gt;&amp;lt;Go to ISI&amp;gt;://WOS:000224068800004&lt;/url&gt;&lt;/related-urls&gt;&lt;/urls&gt;&lt;electronic-resource-num&gt;10.1111/j.1439-0396.2004.00489.x&lt;/electronic-resource-num&gt;&lt;/record&gt;&lt;/Cite&gt;&lt;/EndNote&gt;</w:instrTex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0E91">
              <w:rPr>
                <w:rFonts w:ascii="Times New Roman" w:hAnsi="Times New Roman" w:cs="Times New Roman"/>
                <w:noProof/>
                <w:sz w:val="20"/>
                <w:szCs w:val="20"/>
              </w:rPr>
              <w:t>(Wedekind et al., 2004)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20E91" w:rsidRPr="00420E91" w:rsidTr="00554C88">
        <w:trPr>
          <w:trHeight w:val="470"/>
        </w:trPr>
        <w:tc>
          <w:tcPr>
            <w:tcW w:w="709" w:type="dxa"/>
            <w:vMerge/>
            <w:shd w:val="clear" w:color="auto" w:fill="BDD6EE" w:themeFill="accent1" w:themeFillTint="66"/>
          </w:tcPr>
          <w:p w:rsidR="005A74AC" w:rsidRPr="00420E91" w:rsidRDefault="005A74AC" w:rsidP="00420E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5A74AC" w:rsidRDefault="00420E91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A74AC" w:rsidRPr="00420E91">
              <w:rPr>
                <w:rFonts w:ascii="Times New Roman" w:hAnsi="Times New Roman" w:cs="Times New Roman"/>
                <w:sz w:val="20"/>
                <w:szCs w:val="20"/>
              </w:rPr>
              <w:t>ig (</w:t>
            </w:r>
            <w:r w:rsidR="005A74AC" w:rsidRPr="00420E91">
              <w:rPr>
                <w:rFonts w:ascii="Times New Roman" w:hAnsi="Times New Roman" w:cs="Times New Roman"/>
                <w:i/>
                <w:sz w:val="20"/>
                <w:szCs w:val="20"/>
              </w:rPr>
              <w:t>Sus scrofa</w:t>
            </w:r>
            <w:r w:rsidR="005A74AC" w:rsidRPr="00420E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2FE7" w:rsidRPr="00420E91" w:rsidRDefault="00D42FE7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A74AC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D42FE7" w:rsidRPr="00420E91" w:rsidRDefault="00D42FE7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A74AC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  <w:p w:rsidR="00D42FE7" w:rsidRPr="00420E91" w:rsidRDefault="00D42FE7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vAlign w:val="bottom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 xml:space="preserve">Total GPX/GPX4 activity in heart/liver, hepatic </w:t>
            </w:r>
            <w:r w:rsidRPr="00420E91">
              <w:rPr>
                <w:rFonts w:ascii="Times New Roman" w:hAnsi="Times New Roman" w:cs="Times New Roman"/>
                <w:i/>
                <w:sz w:val="20"/>
                <w:szCs w:val="20"/>
              </w:rPr>
              <w:t>Gpx1/Gpx4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 xml:space="preserve"> mRNA expression </w:t>
            </w:r>
          </w:p>
        </w:tc>
        <w:tc>
          <w:tcPr>
            <w:tcW w:w="1985" w:type="dxa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ANOVA</w:t>
            </w:r>
          </w:p>
        </w:tc>
        <w:tc>
          <w:tcPr>
            <w:tcW w:w="1276" w:type="dxa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SeO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09" w:type="dxa"/>
          </w:tcPr>
          <w:p w:rsidR="005A74AC" w:rsidRPr="00420E91" w:rsidRDefault="005A74AC" w:rsidP="003070B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070B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&lt;EndNote&gt;&lt;Cite&gt;&lt;Author&gt;Lei&lt;/Author&gt;&lt;Year&gt;1998&lt;/Year&gt;&lt;RecNum&gt;2230&lt;/RecNum&gt;&lt;DisplayText&gt;(Lei et al., 1998)&lt;/DisplayText&gt;&lt;record&gt;&lt;rec-number&gt;2230&lt;/rec-number&gt;&lt;foreign-keys&gt;&lt;key app="EN" db-id="t5e520p5yp2fwbe0r2n5r90ua0ptss9s50s9" timestamp="1404981857"&gt;2230&lt;/key&gt;&lt;/foreign-keys&gt;&lt;ref-type name="Journal Article"&gt;17&lt;/ref-type&gt;&lt;contributors&gt;&lt;authors&gt;&lt;author&gt;Lei, X. G.&lt;/author&gt;&lt;author&gt;Dann, H. M.&lt;/author&gt;&lt;author&gt;Ross, D. A.&lt;/author&gt;&lt;author&gt;Cheng, W. H.&lt;/author&gt;&lt;author&gt;Combs, G. F.&lt;/author&gt;&lt;author&gt;Roneker, K. R.&lt;/author&gt;&lt;/authors&gt;&lt;/contributors&gt;&lt;titles&gt;&lt;title&gt;Dietary selenium supplementation is required to support full expression of three selenium-dependent glutathione peroxidases in various tissues of weanling pigs&lt;/title&gt;&lt;secondary-title&gt;The Journal of nutrition&lt;/secondary-title&gt;&lt;alt-title&gt;J Nutr&lt;/alt-title&gt;&lt;/titles&gt;&lt;periodical&gt;&lt;full-title&gt;The Journal of Nutrition&lt;/full-title&gt;&lt;/periodical&gt;&lt;alt-periodical&gt;&lt;full-title&gt;J Nutr&lt;/full-title&gt;&lt;/alt-periodical&gt;&lt;pages&gt;130-135&lt;/pages&gt;&lt;volume&gt;128&lt;/volume&gt;&lt;number&gt;1&lt;/number&gt;&lt;dates&gt;&lt;year&gt;1998&lt;/year&gt;&lt;/dates&gt;&lt;isbn&gt;0022-3166&lt;/isbn&gt;&lt;urls&gt;&lt;related-urls&gt;&lt;url&gt;http://www.ncbi.nlm.nih.gov/pubmed/9430614&lt;/url&gt;&lt;/related-urls&gt;&lt;pdf-urls&gt;&lt;url&gt;U:\PDF\Lei 1998, se requirements, pig.pdf&lt;/url&gt;&lt;/pdf-urls&gt;&lt;/urls&gt;&lt;custom2&gt;9430614&lt;/custom2&gt;&lt;remote-database-name&gt;READCUBE&lt;/remote-database-name&gt;&lt;/record&gt;&lt;/Cite&gt;&lt;/EndNote&gt;</w:instrTex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0E91">
              <w:rPr>
                <w:rFonts w:ascii="Times New Roman" w:hAnsi="Times New Roman" w:cs="Times New Roman"/>
                <w:noProof/>
                <w:sz w:val="20"/>
                <w:szCs w:val="20"/>
              </w:rPr>
              <w:t>(Lei et al., 1998)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20E91" w:rsidRPr="00420E91" w:rsidTr="00554C88">
        <w:trPr>
          <w:trHeight w:val="302"/>
        </w:trPr>
        <w:tc>
          <w:tcPr>
            <w:tcW w:w="709" w:type="dxa"/>
            <w:vMerge/>
            <w:shd w:val="clear" w:color="auto" w:fill="BDD6EE" w:themeFill="accent1" w:themeFillTint="66"/>
          </w:tcPr>
          <w:p w:rsidR="005A74AC" w:rsidRPr="00420E91" w:rsidRDefault="005A74AC" w:rsidP="00420E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bCs/>
                <w:sz w:val="20"/>
                <w:szCs w:val="20"/>
              </w:rPr>
              <w:t>Horse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20E91">
              <w:rPr>
                <w:rFonts w:ascii="Times New Roman" w:hAnsi="Times New Roman" w:cs="Times New Roman"/>
                <w:i/>
                <w:sz w:val="20"/>
                <w:szCs w:val="20"/>
              </w:rPr>
              <w:t>Equus ferus caballus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bottom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bottom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3974" w:type="dxa"/>
            <w:vAlign w:val="bottom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Full life cycle health</w:t>
            </w:r>
          </w:p>
        </w:tc>
        <w:tc>
          <w:tcPr>
            <w:tcW w:w="1985" w:type="dxa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Forage</w:t>
            </w:r>
          </w:p>
        </w:tc>
        <w:tc>
          <w:tcPr>
            <w:tcW w:w="2409" w:type="dxa"/>
          </w:tcPr>
          <w:p w:rsidR="005A74AC" w:rsidRPr="00420E91" w:rsidRDefault="005A74AC" w:rsidP="003070B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070B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&lt;EndNote&gt;&lt;Cite&gt;&lt;Author&gt;NRC&lt;/Author&gt;&lt;Year&gt;1997&lt;/Year&gt;&lt;RecNum&gt;2234&lt;/RecNum&gt;&lt;DisplayText&gt;(NRC 1997)&lt;/DisplayText&gt;&lt;record&gt;&lt;rec-number&gt;2234&lt;/rec-number&gt;&lt;foreign-keys&gt;&lt;key app="EN" db-id="t5e520p5yp2fwbe0r2n5r90ua0ptss9s50s9" timestamp="1404996436"&gt;2234&lt;/key&gt;&lt;/foreign-keys&gt;&lt;ref-type name="Book"&gt;6&lt;/ref-type&gt;&lt;contributors&gt;&lt;authors&gt;&lt;author&gt;NRC&lt;/author&gt;&lt;/authors&gt;&lt;/contributors&gt;&lt;titles&gt;&lt;title&gt;Nutrient requirements of horses&lt;/title&gt;&lt;/titles&gt;&lt;dates&gt;&lt;year&gt;1997&lt;/year&gt;&lt;/dates&gt;&lt;pub-location&gt;Washington DC&lt;/pub-location&gt;&lt;publisher&gt;National Academy Press&lt;/publisher&gt;&lt;urls&gt;&lt;/urls&gt;&lt;/record&gt;&lt;/Cite&gt;&lt;/EndNote&gt;</w:instrTex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70BE">
              <w:rPr>
                <w:rFonts w:ascii="Times New Roman" w:hAnsi="Times New Roman" w:cs="Times New Roman"/>
                <w:noProof/>
                <w:sz w:val="20"/>
                <w:szCs w:val="20"/>
              </w:rPr>
              <w:t>(NRC 1997)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20E91" w:rsidRPr="00420E91" w:rsidTr="00554C88">
        <w:trPr>
          <w:trHeight w:val="234"/>
        </w:trPr>
        <w:tc>
          <w:tcPr>
            <w:tcW w:w="709" w:type="dxa"/>
            <w:vMerge/>
            <w:shd w:val="clear" w:color="auto" w:fill="BDD6EE" w:themeFill="accent1" w:themeFillTint="66"/>
          </w:tcPr>
          <w:p w:rsidR="005A74AC" w:rsidRPr="00420E91" w:rsidRDefault="005A74AC" w:rsidP="00420E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Cow (</w:t>
            </w:r>
            <w:r w:rsidRPr="00420E91">
              <w:rPr>
                <w:rFonts w:ascii="Times New Roman" w:hAnsi="Times New Roman" w:cs="Times New Roman"/>
                <w:i/>
                <w:sz w:val="20"/>
                <w:szCs w:val="20"/>
              </w:rPr>
              <w:t>Bos taurus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bottom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bottom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3974" w:type="dxa"/>
            <w:vAlign w:val="bottom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Full life cycle health</w:t>
            </w:r>
          </w:p>
        </w:tc>
        <w:tc>
          <w:tcPr>
            <w:tcW w:w="1985" w:type="dxa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Forage</w:t>
            </w:r>
          </w:p>
        </w:tc>
        <w:tc>
          <w:tcPr>
            <w:tcW w:w="2409" w:type="dxa"/>
          </w:tcPr>
          <w:p w:rsidR="005A74AC" w:rsidRPr="00420E91" w:rsidRDefault="005A74AC" w:rsidP="003070B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070B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&lt;EndNote&gt;&lt;Cite&gt;&lt;Author&gt;NRC&lt;/Author&gt;&lt;Year&gt;1963&lt;/Year&gt;&lt;RecNum&gt;2235&lt;/RecNum&gt;&lt;DisplayText&gt;(NRC 1963)&lt;/DisplayText&gt;&lt;record&gt;&lt;rec-number&gt;2235&lt;/rec-number&gt;&lt;foreign-keys&gt;&lt;key app="EN" db-id="t5e520p5yp2fwbe0r2n5r90ua0ptss9s50s9" timestamp="1404997766"&gt;2235&lt;/key&gt;&lt;/foreign-keys&gt;&lt;ref-type name="Book"&gt;6&lt;/ref-type&gt;&lt;contributors&gt;&lt;authors&gt;&lt;author&gt;NRC&lt;/author&gt;&lt;/authors&gt;&lt;/contributors&gt;&lt;titles&gt;&lt;title&gt;Nutrient requirements of beef cattle&lt;/title&gt;&lt;/titles&gt;&lt;dates&gt;&lt;year&gt;1963&lt;/year&gt;&lt;/dates&gt;&lt;pub-location&gt;Washington DC&lt;/pub-location&gt;&lt;publisher&gt;National Academy Press&lt;/publisher&gt;&lt;urls&gt;&lt;/urls&gt;&lt;/record&gt;&lt;/Cite&gt;&lt;/EndNote&gt;</w:instrTex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70BE">
              <w:rPr>
                <w:rFonts w:ascii="Times New Roman" w:hAnsi="Times New Roman" w:cs="Times New Roman"/>
                <w:noProof/>
                <w:sz w:val="20"/>
                <w:szCs w:val="20"/>
              </w:rPr>
              <w:t>(NRC 1963)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20E91" w:rsidRPr="00420E91" w:rsidTr="00554C88">
        <w:trPr>
          <w:trHeight w:val="252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A74AC" w:rsidRPr="00420E91" w:rsidRDefault="005A74AC" w:rsidP="00420E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Sheep (</w:t>
            </w:r>
            <w:r w:rsidRPr="00420E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Ovis </w:t>
            </w:r>
            <w:r w:rsidRPr="00420E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aries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vAlign w:val="bottom"/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Full life cycle health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74AC" w:rsidRPr="00420E91" w:rsidRDefault="005A74AC" w:rsidP="00D42FE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Forage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A74AC" w:rsidRPr="00420E91" w:rsidRDefault="005A74AC" w:rsidP="003070B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070B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&lt;EndNote&gt;&lt;Cite&gt;&lt;Author&gt;NRC&lt;/Author&gt;&lt;Year&gt;1985&lt;/Year&gt;&lt;RecNum&gt;2236&lt;/RecNum&gt;&lt;DisplayText&gt;(NRC 1985)&lt;/DisplayText&gt;&lt;record&gt;&lt;rec-number&gt;2236&lt;/rec-number&gt;&lt;foreign-keys&gt;&lt;key app="EN" db-id="t5e520p5yp2fwbe0r2n5r90ua0ptss9s50s9" timestamp="1404998144"&gt;2236&lt;/key&gt;&lt;/foreign-keys&gt;&lt;ref-type name="Book"&gt;6&lt;/ref-type&gt;&lt;contributors&gt;&lt;authors&gt;&lt;author&gt;NRC&lt;/author&gt;&lt;/authors&gt;&lt;/contributors&gt;&lt;titles&gt;&lt;title&gt;Nutrient requirements of sheep&lt;/title&gt;&lt;/titles&gt;&lt;dates&gt;&lt;year&gt;1985&lt;/year&gt;&lt;/dates&gt;&lt;pub-location&gt;Washington DC&lt;/pub-location&gt;&lt;publisher&gt;National Academy Press&lt;/publisher&gt;&lt;urls&gt;&lt;/urls&gt;&lt;/record&gt;&lt;/Cite&gt;&lt;/EndNote&gt;</w:instrTex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70BE">
              <w:rPr>
                <w:rFonts w:ascii="Times New Roman" w:hAnsi="Times New Roman" w:cs="Times New Roman"/>
                <w:noProof/>
                <w:sz w:val="20"/>
                <w:szCs w:val="20"/>
              </w:rPr>
              <w:t>(NRC 1985)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20E91" w:rsidRPr="00420E91" w:rsidTr="00554C88">
        <w:trPr>
          <w:trHeight w:val="428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  <w:shd w:val="clear" w:color="auto" w:fill="C5E0B3" w:themeFill="accent6" w:themeFillTint="66"/>
            <w:textDirection w:val="btLr"/>
          </w:tcPr>
          <w:p w:rsidR="005A74AC" w:rsidRPr="00420E91" w:rsidRDefault="005A74AC" w:rsidP="00420E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b/>
                <w:sz w:val="20"/>
                <w:szCs w:val="20"/>
              </w:rPr>
              <w:t>Bony Fish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:rsidR="005A74AC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Rainbow trout (</w:t>
            </w:r>
            <w:r w:rsidRPr="00420E91">
              <w:rPr>
                <w:rFonts w:ascii="Times New Roman" w:hAnsi="Times New Roman" w:cs="Times New Roman"/>
                <w:i/>
                <w:sz w:val="20"/>
                <w:szCs w:val="20"/>
              </w:rPr>
              <w:t>Oncorhynchus mykiss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2FE7" w:rsidRPr="00420E91" w:rsidRDefault="00D42FE7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5A74AC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D42FE7" w:rsidRPr="00420E91" w:rsidRDefault="00D42FE7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5A74AC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  <w:p w:rsidR="00D42FE7" w:rsidRPr="00420E91" w:rsidRDefault="00D42FE7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nil"/>
            </w:tcBorders>
            <w:vAlign w:val="bottom"/>
          </w:tcPr>
          <w:p w:rsidR="00D42FE7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Blood plasma GPX3</w:t>
            </w:r>
          </w:p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ANOVA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SeO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5A74AC" w:rsidRPr="00420E91" w:rsidRDefault="005A74AC" w:rsidP="003070B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070B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&lt;EndNote&gt;&lt;Cite&gt;&lt;Author&gt;NRC&lt;/Author&gt;&lt;Year&gt;2011&lt;/Year&gt;&lt;RecNum&gt;1282&lt;/RecNum&gt;&lt;DisplayText&gt;(NRC 2011)&lt;/DisplayText&gt;&lt;record&gt;&lt;rec-number&gt;1282&lt;/rec-number&gt;&lt;foreign-keys&gt;&lt;key app="EN" db-id="t5e520p5yp2fwbe0r2n5r90ua0ptss9s50s9" timestamp="1329486878"&gt;1282&lt;/key&gt;&lt;/foreign-keys&gt;&lt;ref-type name="Book"&gt;6&lt;/ref-type&gt;&lt;contributors&gt;&lt;authors&gt;&lt;author&gt;NRC&lt;/author&gt;&lt;/authors&gt;&lt;/contributors&gt;&lt;titles&gt;&lt;title&gt;Nutrient requirements of fish and shrimp&lt;/title&gt;&lt;/titles&gt;&lt;dates&gt;&lt;year&gt;2011&lt;/year&gt;&lt;/dates&gt;&lt;pub-location&gt;Washington DC&lt;/pub-location&gt;&lt;publisher&gt;National Academy Press&lt;/publisher&gt;&lt;urls&gt;&lt;/urls&gt;&lt;/record&gt;&lt;/Cite&gt;&lt;/EndNote&gt;</w:instrTex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70BE">
              <w:rPr>
                <w:rFonts w:ascii="Times New Roman" w:hAnsi="Times New Roman" w:cs="Times New Roman"/>
                <w:noProof/>
                <w:sz w:val="20"/>
                <w:szCs w:val="20"/>
              </w:rPr>
              <w:t>(NRC 2011)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 xml:space="preserve"> assessed from 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070B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&lt;EndNote&gt;&lt;Cite&gt;&lt;Author&gt;Hilton&lt;/Author&gt;&lt;Year&gt;1980&lt;/Year&gt;&lt;RecNum&gt;17&lt;/RecNum&gt;&lt;DisplayText&gt;(Hilton et al., 1980)&lt;/DisplayText&gt;&lt;record&gt;&lt;rec-number&gt;17&lt;/rec-number&gt;&lt;foreign-keys&gt;&lt;key app="EN" db-id="t5e520p5yp2fwbe0r2n5r90ua0ptss9s50s9" timestamp="0"&gt;17&lt;/key&gt;&lt;/foreign-keys&gt;&lt;ref-type name="Journal Article"&gt;17&lt;/ref-type&gt;&lt;contributors&gt;&lt;authors&gt;&lt;author&gt;Hilton, J.W.&lt;/author&gt;&lt;author&gt;Hodson, P.V.&lt;/author&gt;&lt;author&gt;Slinger, S.J.&lt;/author&gt;&lt;/authors&gt;&lt;/contributors&gt;&lt;titles&gt;&lt;title&gt;&lt;style face="normal" font="default" size="100%"&gt;The requirement and toxicity of selenium in rainbow trout (&lt;/style&gt;&lt;style face="italic" font="default" size="100%"&gt;Salmo gairdneri&lt;/style&gt;&lt;style face="normal" font="default" size="100%"&gt;).&lt;/style&gt;&lt;/title&gt;&lt;secondary-title&gt;Journal of Nutrition&lt;/secondary-title&gt;&lt;alt-title&gt;J Nutr&lt;/alt-title&gt;&lt;/titles&gt;&lt;periodical&gt;&lt;full-title&gt;Journal of Nutrition&lt;/full-title&gt;&lt;/periodical&gt;&lt;alt-periodical&gt;&lt;full-title&gt;J Nutr&lt;/full-title&gt;&lt;/alt-periodical&gt;&lt;pages&gt;2527-2535&lt;/pages&gt;&lt;volume&gt;110&lt;/volume&gt;&lt;keywords&gt;&lt;keyword&gt;fisk/selen/behov&lt;/keyword&gt;&lt;/keywords&gt;&lt;dates&gt;&lt;year&gt;1980&lt;/year&gt;&lt;/dates&gt;&lt;label&gt;PBS Record:  156&lt;/label&gt;&lt;urls&gt;&lt;/urls&gt;&lt;custom2&gt;7441379&lt;/custom2&gt;&lt;/record&gt;&lt;/Cite&gt;&lt;/EndNote&gt;</w:instrTex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0E91">
              <w:rPr>
                <w:rFonts w:ascii="Times New Roman" w:hAnsi="Times New Roman" w:cs="Times New Roman"/>
                <w:noProof/>
                <w:sz w:val="20"/>
                <w:szCs w:val="20"/>
              </w:rPr>
              <w:t>(Hilton et al., 1980)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20E91" w:rsidRPr="00420E91" w:rsidTr="00554C88">
        <w:trPr>
          <w:trHeight w:val="259"/>
        </w:trPr>
        <w:tc>
          <w:tcPr>
            <w:tcW w:w="709" w:type="dxa"/>
            <w:vMerge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Channel catfish (</w:t>
            </w:r>
            <w:r w:rsidRPr="00420E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Ictalurus </w:t>
            </w:r>
            <w:r w:rsidRPr="00420E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punctatus</w:t>
            </w:r>
            <w:r w:rsidRPr="00420E9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3974" w:type="dxa"/>
            <w:tcBorders>
              <w:top w:val="nil"/>
              <w:bottom w:val="nil"/>
            </w:tcBorders>
            <w:vAlign w:val="bottom"/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Total hepatic GPX activity/growth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ANOVA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SeO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A74AC" w:rsidRPr="00420E91" w:rsidRDefault="005A74AC" w:rsidP="003070B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070B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&lt;EndNote&gt;&lt;Cite&gt;&lt;Author&gt;Gatlin&lt;/Author&gt;&lt;Year&gt;1984&lt;/Year&gt;&lt;RecNum&gt;159&lt;/RecNum&gt;&lt;DisplayText&gt;(Gatlin and Wilson 1984)&lt;/DisplayText&gt;&lt;record&gt;&lt;rec-number&gt;159&lt;/rec-number&gt;&lt;foreign-keys&gt;&lt;key app="EN" db-id="t5e520p5yp2fwbe0r2n5r90ua0ptss9s50s9" timestamp="0"&gt;159&lt;/key&gt;&lt;/foreign-keys&gt;&lt;ref-type name="Journal Article"&gt;17&lt;/ref-type&gt;&lt;contributors&gt;&lt;authors&gt;&lt;author&gt;Gatlin, Delbert M., III&lt;/author&gt;&lt;author&gt;Wilson, Robert P.&lt;/author&gt;&lt;/authors&gt;&lt;/contributors&gt;&lt;titles&gt;&lt;title&gt;Dietary selenium requirement of fingerling channel catfish&lt;/title&gt;&lt;secondary-title&gt;Journal of Nutrition &lt;/secondary-title&gt;&lt;alt-title&gt;J Nutr&lt;/alt-title&gt;&lt;/titles&gt;&lt;periodical&gt;&lt;full-title&gt;Journal of Nutrition&lt;/full-title&gt;&lt;/periodical&gt;&lt;alt-periodical&gt;&lt;full-title&gt;J Nutr&lt;/full-title&gt;&lt;/alt-periodical&gt;&lt;pages&gt;627-633&lt;/pages&gt;&lt;volume&gt;114&lt;/volume&gt;&lt;number&gt;3&lt;/number&gt;&lt;dates&gt;&lt;year&gt;1984&lt;/year&gt;&lt;pub-dates&gt;&lt;date&gt;March 1, 1984&lt;/date&gt;&lt;/pub-dates&gt;&lt;/dates&gt;&lt;urls&gt;&lt;related-urls&gt;&lt;url&gt;http://jn.nutrition.org/cgi/content/abstract/114/3/627 &lt;/url&gt;&lt;/related-urls&gt;&lt;/urls&gt;&lt;/record&gt;&lt;/Cite&gt;&lt;/EndNote&gt;</w:instrTex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70BE">
              <w:rPr>
                <w:rFonts w:ascii="Times New Roman" w:hAnsi="Times New Roman" w:cs="Times New Roman"/>
                <w:noProof/>
                <w:sz w:val="20"/>
                <w:szCs w:val="20"/>
              </w:rPr>
              <w:t>(Gatlin and Wilson 1984)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20E91" w:rsidRPr="00420E91" w:rsidTr="00554C88">
        <w:trPr>
          <w:trHeight w:val="252"/>
        </w:trPr>
        <w:tc>
          <w:tcPr>
            <w:tcW w:w="709" w:type="dxa"/>
            <w:vMerge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Zebrafish (</w:t>
            </w:r>
            <w:r w:rsidRPr="00420E91">
              <w:rPr>
                <w:rFonts w:ascii="Times New Roman" w:hAnsi="Times New Roman" w:cs="Times New Roman"/>
                <w:i/>
                <w:sz w:val="20"/>
                <w:szCs w:val="20"/>
              </w:rPr>
              <w:t>Danio rerio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3974" w:type="dxa"/>
            <w:tcBorders>
              <w:top w:val="nil"/>
              <w:bottom w:val="nil"/>
            </w:tcBorders>
            <w:vAlign w:val="bottom"/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Growth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74AC" w:rsidRPr="00420E91" w:rsidRDefault="00420E91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Regression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Se-yeast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A74AC" w:rsidRPr="00420E91" w:rsidRDefault="005A74AC" w:rsidP="003070B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070B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&lt;EndNote&gt;&lt;Cite&gt;&lt;Author&gt;Penglase&lt;/Author&gt;&lt;Year&gt;2014&lt;/Year&gt;&lt;RecNum&gt;2209&lt;/RecNum&gt;&lt;DisplayText&gt;(Penglase et al., 2014)&lt;/DisplayText&gt;&lt;record&gt;&lt;rec-number&gt;2209&lt;/rec-number&gt;&lt;foreign-keys&gt;&lt;key app="EN" db-id="t5e520p5yp2fwbe0r2n5r90ua0ptss9s50s9" timestamp="1402906370"&gt;2209&lt;/key&gt;&lt;/foreign-keys&gt;&lt;ref-type name="Journal Article"&gt;17&lt;/ref-type&gt;&lt;contributors&gt;&lt;authors&gt;&lt;author&gt;Penglase,Sam&lt;/author&gt;&lt;author&gt;Hamre,Kristin&lt;/author&gt;&lt;author&gt;Rasinger,Josef D.&lt;/author&gt;&lt;author&gt;Ellingsen,Staale&lt;/author&gt;&lt;/authors&gt;&lt;/contributors&gt;&lt;titles&gt;&lt;title&gt;&lt;style face="normal" font="default" size="100%"&gt;Selenium status affects selenoprotein expression, reproduction, and F1 generation locomotor activity in zebrafish (&lt;/style&gt;&lt;style face="italic" font="default" size="100%"&gt;Danio rerio&lt;/style&gt;&lt;style face="normal" font="default" size="100%"&gt;)&lt;/style&gt;&lt;/title&gt;&lt;secondary-title&gt;British Journal of Nutrition&lt;/secondary-title&gt;&lt;alt-title&gt;Brit J Nutr&lt;/alt-title&gt;&lt;/titles&gt;&lt;periodical&gt;&lt;full-title&gt;British Journal of Nutrition&lt;/full-title&gt;&lt;/periodical&gt;&lt;pages&gt;1918-1931&lt;/pages&gt;&lt;volume&gt;111&lt;/volume&gt;&lt;number&gt;11&lt;/number&gt;&lt;keywords&gt;&lt;keyword&gt;Selenium status, Reproduction, Glutathione peroxidase, Zebrafish&lt;/keyword&gt;&lt;/keywords&gt;&lt;dates&gt;&lt;year&gt;2014&lt;/year&gt;&lt;/dates&gt;&lt;isbn&gt;1475-2662&lt;/isbn&gt;&lt;urls&gt;&lt;related-urls&gt;&lt;url&gt;http://dx.doi.org/10.1017/S000711451300439X&lt;/url&gt;&lt;/related-urls&gt;&lt;/urls&gt;&lt;electronic-resource-num&gt;10.1017/S000711451300439X&lt;/electronic-resource-num&gt;&lt;access-date&gt;2014&lt;/access-date&gt;&lt;/record&gt;&lt;/Cite&gt;&lt;/EndNote&gt;</w:instrTex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0E91">
              <w:rPr>
                <w:rFonts w:ascii="Times New Roman" w:hAnsi="Times New Roman" w:cs="Times New Roman"/>
                <w:noProof/>
                <w:sz w:val="20"/>
                <w:szCs w:val="20"/>
              </w:rPr>
              <w:t>(Penglase et al., 2014)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20E91" w:rsidRPr="00420E91" w:rsidTr="00554C88">
        <w:trPr>
          <w:trHeight w:val="214"/>
        </w:trPr>
        <w:tc>
          <w:tcPr>
            <w:tcW w:w="709" w:type="dxa"/>
            <w:vMerge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Loach (</w:t>
            </w:r>
            <w:r w:rsidRPr="00420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Paramisgurnus dabryanus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358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3974" w:type="dxa"/>
            <w:tcBorders>
              <w:top w:val="nil"/>
              <w:bottom w:val="nil"/>
            </w:tcBorders>
            <w:vAlign w:val="bottom"/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Oxidative stress response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ANOVA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NaHSeO</w:t>
            </w:r>
            <w:r w:rsidRPr="00420E9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A74AC" w:rsidRPr="00420E91" w:rsidRDefault="00420E91" w:rsidP="005348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5348A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&lt;EndNote&gt;&lt;Cite&gt;&lt;Author&gt;Hao&lt;/Author&gt;&lt;Year&gt;2014&lt;/Year&gt;&lt;RecNum&gt;2249&lt;/RecNum&gt;&lt;DisplayText&gt;(Hao et al., 2014)&lt;/DisplayText&gt;&lt;record&gt;&lt;rec-number&gt;2249&lt;/rec-number&gt;&lt;foreign-keys&gt;&lt;key app="EN" db-id="t5e520p5yp2fwbe0r2n5r90ua0ptss9s50s9" timestamp="1405499737"&gt;2249&lt;/key&gt;&lt;/foreign-keys&gt;&lt;ref-type name="Journal Article"&gt;17&lt;/ref-type&gt;&lt;contributors&gt;&lt;authors&gt;&lt;author&gt;Hao, Xiaofeng&lt;/author&gt;&lt;author&gt;Ling, Qufei&lt;/author&gt;&lt;author&gt;Hong, Fashui&lt;/author&gt;&lt;/authors&gt;&lt;/contributors&gt;&lt;titles&gt;&lt;title&gt;&lt;style face="normal" font="default" size="100%"&gt;Effects of dietary selenium on the pathological changes and oxidative stress in loach (&lt;/style&gt;&lt;style face="italic" font="default" size="100%"&gt;Paramisgurnus dabryanus&lt;/style&gt;&lt;style face="normal" font="default" size="100%"&gt;)&lt;/style&gt;&lt;/title&gt;&lt;secondary-title&gt;Fish physiology and biochemistry&lt;/secondary-title&gt;&lt;alt-title&gt;Fish Physiol Biochem&lt;/alt-title&gt;&lt;/titles&gt;&lt;periodical&gt;&lt;full-title&gt;Fish Physiology and Biochemistry&lt;/full-title&gt;&lt;/periodical&gt;&lt;dates&gt;&lt;year&gt;2014&lt;/year&gt;&lt;/dates&gt;&lt;isbn&gt;0920-1742&lt;/isbn&gt;&lt;urls&gt;&lt;related-urls&gt;&lt;url&gt;http://dx.doi.org/10.1007/s10695-014-9926-7&lt;/url&gt;&lt;/related-urls&gt;&lt;pdf-urls&gt;&lt;url&gt;U:\PDF\Readcube\Fish Physiol Biochem 2014 Hao X.pdf&lt;/url&gt;&lt;/pdf-urls&gt;&lt;/urls&gt;&lt;electronic-resource-num&gt;10.1007/s10695-014-9926-7&lt;/electronic-resource-num&gt;&lt;remote-database-name&gt;READCUBE&lt;/remote-database-name&gt;&lt;/record&gt;&lt;/Cite&gt;&lt;/EndNote&gt;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(Hao et al., 2014)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20E91" w:rsidRPr="00420E91" w:rsidTr="00554C88">
        <w:trPr>
          <w:trHeight w:val="260"/>
        </w:trPr>
        <w:tc>
          <w:tcPr>
            <w:tcW w:w="709" w:type="dxa"/>
            <w:vMerge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Cobia (</w:t>
            </w:r>
            <w:r w:rsidRPr="00420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Rachycentron canadum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358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3974" w:type="dxa"/>
            <w:tcBorders>
              <w:top w:val="nil"/>
              <w:bottom w:val="nil"/>
            </w:tcBorders>
            <w:vAlign w:val="bottom"/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Growth and whole body/vetebra</w:t>
            </w:r>
            <w:r w:rsidR="00843BF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 xml:space="preserve"> Se retention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74AC" w:rsidRPr="00420E91" w:rsidRDefault="00420E91" w:rsidP="00420E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 xml:space="preserve">Se-DL-Met 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A74AC" w:rsidRPr="00420E91" w:rsidRDefault="00420E91" w:rsidP="00420E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&lt;EndNote&gt;&lt;Cite&gt;&lt;Author&gt;Liu&lt;/Author&gt;&lt;Year&gt;2010&lt;/Year&gt;&lt;RecNum&gt;489&lt;/RecNum&gt;&lt;DisplayText&gt;(Liu et al., 2010)&lt;/DisplayText&gt;&lt;record&gt;&lt;rec-number&gt;489&lt;/rec-number&gt;&lt;foreign-keys&gt;&lt;key app="EN" db-id="t5e520p5yp2fwbe0r2n5r90ua0ptss9s50s9" timestamp="1290435684"&gt;489&lt;/key&gt;&lt;/foreign-keys&gt;&lt;ref-type name="Journal Article"&gt;17&lt;/ref-type&gt;&lt;contributors&gt;&lt;authors&gt;&lt;author&gt;Liu, K.&lt;/author&gt;&lt;author&gt;Wang, X. J.&lt;/author&gt;&lt;author&gt;Ai, Q. H.&lt;/author&gt;&lt;author&gt;Mai, K. S.&lt;/author&gt;&lt;author&gt;Zhang, W. B.&lt;/author&gt;&lt;/authors&gt;&lt;/contributors&gt;&lt;titles&gt;&lt;title&gt;&lt;style face="normal" font="default" size="100%"&gt;Dietary selenium requirement for juvenile cobia,&lt;/style&gt;&lt;style face="italic" font="default" size="100%"&gt; Rachycentron canadum&lt;/style&gt;&lt;style face="normal" font="default" size="100%"&gt; L&lt;/style&gt;&lt;/title&gt;&lt;secondary-title&gt;Aquaculture Research&lt;/secondary-title&gt;&lt;alt-title&gt;Aquaculture Res&lt;/alt-title&gt;&lt;/titles&gt;&lt;periodical&gt;&lt;full-title&gt;Aquaculture Research&lt;/full-title&gt;&lt;/periodical&gt;&lt;pages&gt;e594-e601&lt;/pages&gt;&lt;volume&gt;41&lt;/volume&gt;&lt;number&gt;10&lt;/number&gt;&lt;dates&gt;&lt;year&gt;2010&lt;/year&gt;&lt;pub-dates&gt;&lt;date&gt;Sep&lt;/date&gt;&lt;/pub-dates&gt;&lt;/dates&gt;&lt;isbn&gt;1355-557X&lt;/isbn&gt;&lt;accession-num&gt;ISI:000282178000025&lt;/accession-num&gt;&lt;urls&gt;&lt;related-urls&gt;&lt;url&gt;&amp;lt;Go to ISI&amp;gt;://000282178000025&lt;/url&gt;&lt;/related-urls&gt;&lt;/urls&gt;&lt;electronic-resource-num&gt;10.1111/j.1365-2109.2010.02562.x&lt;/electronic-resource-num&gt;&lt;/record&gt;&lt;/Cite&gt;&lt;/EndNote&gt;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(Liu et al., 2010)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20E91" w:rsidRPr="00420E91" w:rsidTr="00554C88">
        <w:trPr>
          <w:trHeight w:val="210"/>
        </w:trPr>
        <w:tc>
          <w:tcPr>
            <w:tcW w:w="709" w:type="dxa"/>
            <w:vMerge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Grouper (</w:t>
            </w:r>
            <w:r w:rsidRPr="00420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Epinephelus malabaricus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239D7" w:rsidRPr="002239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1358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3974" w:type="dxa"/>
            <w:tcBorders>
              <w:top w:val="nil"/>
              <w:bottom w:val="nil"/>
            </w:tcBorders>
            <w:vAlign w:val="bottom"/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Growth and whole body Se retention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74AC" w:rsidRPr="00420E91" w:rsidRDefault="005A74AC" w:rsidP="00420E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ANOVA and B</w:t>
            </w:r>
            <w:r w:rsidR="00420E91">
              <w:rPr>
                <w:rFonts w:ascii="Times New Roman" w:hAnsi="Times New Roman" w:cs="Times New Roman"/>
                <w:sz w:val="20"/>
                <w:szCs w:val="20"/>
              </w:rPr>
              <w:t>LR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A74AC" w:rsidRPr="00420E91" w:rsidRDefault="005A74AC" w:rsidP="005A74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SeMet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A74AC" w:rsidRPr="00420E91" w:rsidRDefault="00420E91" w:rsidP="003070B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070B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&lt;EndNote&gt;&lt;Cite&gt;&lt;Author&gt;Lin&lt;/Author&gt;&lt;Year&gt;2005&lt;/Year&gt;&lt;RecNum&gt;30&lt;/RecNum&gt;&lt;DisplayText&gt;(Lin and Shiau 2005)&lt;/DisplayText&gt;&lt;record&gt;&lt;rec-number&gt;30&lt;/rec-number&gt;&lt;foreign-keys&gt;&lt;key app="EN" db-id="t5e520p5yp2fwbe0r2n5r90ua0ptss9s50s9" timestamp="0"&gt;30&lt;/key&gt;&lt;/foreign-keys&gt;&lt;ref-type name="Journal Article"&gt;17&lt;/ref-type&gt;&lt;contributors&gt;&lt;authors&gt;&lt;author&gt;Lin, Y.H.&lt;/author&gt;&lt;author&gt;Shiau, S.Y.&lt;/author&gt;&lt;/authors&gt;&lt;/contributors&gt;&lt;titles&gt;&lt;title&gt;&lt;style face="normal" font="default" size="100%"&gt;Dietary selenium requirements of juvenile grouper, &lt;/style&gt;&lt;style face="italic" font="default" size="100%"&gt;Epinephelus malabaricus&lt;/style&gt;&lt;/title&gt;&lt;secondary-title&gt;Aquaculture&lt;/secondary-title&gt;&lt;alt-title&gt;Aquaculture&lt;/alt-title&gt;&lt;/titles&gt;&lt;periodical&gt;&lt;full-title&gt;Aquaculture&lt;/full-title&gt;&lt;/periodical&gt;&lt;alt-periodical&gt;&lt;full-title&gt;Aquaculture&lt;/full-title&gt;&lt;/alt-periodical&gt;&lt;pages&gt;356-363&lt;/pages&gt;&lt;volume&gt;250&lt;/volume&gt;&lt;number&gt;1-2&lt;/number&gt;&lt;keywords&gt;&lt;keyword&gt;Selenium&lt;/keyword&gt;&lt;keyword&gt;Grouper&lt;/keyword&gt;&lt;keyword&gt;Nutrition&lt;/keyword&gt;&lt;/keywords&gt;&lt;dates&gt;&lt;year&gt;2005&lt;/year&gt;&lt;/dates&gt;&lt;urls&gt;&lt;related-urls&gt;&lt;url&gt;http://www.sciencedirect.com/science/article/B6T4D-4G1GF61-4/1/508f0bc4d343771c1fac48a12200b7ee &lt;/url&gt;&lt;/related-urls&gt;&lt;/urls&gt;&lt;electronic-resource-num&gt;10.1016/j.aquaculture.2005.03.022&lt;/electronic-resource-num&gt;&lt;/record&gt;&lt;/Cite&gt;&lt;/EndNote&gt;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70BE">
              <w:rPr>
                <w:rFonts w:ascii="Times New Roman" w:hAnsi="Times New Roman" w:cs="Times New Roman"/>
                <w:noProof/>
                <w:sz w:val="20"/>
                <w:szCs w:val="20"/>
              </w:rPr>
              <w:t>(Lin and Shiau 2005)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35D81" w:rsidRPr="00420E91" w:rsidTr="00554C88">
        <w:trPr>
          <w:trHeight w:val="302"/>
        </w:trPr>
        <w:tc>
          <w:tcPr>
            <w:tcW w:w="709" w:type="dxa"/>
            <w:vMerge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B35D81" w:rsidRPr="00420E91" w:rsidRDefault="00B35D81" w:rsidP="00B35D8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B35D81" w:rsidRPr="00420E91" w:rsidRDefault="00B35D81" w:rsidP="00B35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Gibel carp (</w:t>
            </w:r>
            <w:r w:rsidRPr="00420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Carassius auratus gibelio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358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35D81" w:rsidRPr="00420E91" w:rsidRDefault="00B35D81" w:rsidP="00B35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35D81" w:rsidRPr="00420E91" w:rsidRDefault="00B35D81" w:rsidP="00B35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3974" w:type="dxa"/>
            <w:tcBorders>
              <w:top w:val="nil"/>
              <w:bottom w:val="nil"/>
            </w:tcBorders>
            <w:vAlign w:val="bottom"/>
          </w:tcPr>
          <w:p w:rsidR="00B35D81" w:rsidRPr="00420E91" w:rsidRDefault="00B35D81" w:rsidP="00B35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Growth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35D81" w:rsidRPr="00420E91" w:rsidRDefault="00B35D81" w:rsidP="00B35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5D81" w:rsidRPr="00420E91" w:rsidRDefault="00B35D81" w:rsidP="00B35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SeMet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B35D81" w:rsidRPr="00420E91" w:rsidRDefault="00B35D81" w:rsidP="00B35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&lt;EndNote&gt;&lt;Cite&gt;&lt;Author&gt;Han&lt;/Author&gt;&lt;Year&gt;2011&lt;/Year&gt;&lt;RecNum&gt;1452&lt;/RecNum&gt;&lt;DisplayText&gt;(Han et al., 2011)&lt;/DisplayText&gt;&lt;record&gt;&lt;rec-number&gt;1452&lt;/rec-number&gt;&lt;foreign-keys&gt;&lt;key app="EN" db-id="t5e520p5yp2fwbe0r2n5r90ua0ptss9s50s9" timestamp="1331129063"&gt;1452&lt;/key&gt;&lt;/foreign-keys&gt;&lt;ref-type name="Journal Article"&gt;17&lt;/ref-type&gt;&lt;contributors&gt;&lt;authors&gt;&lt;author&gt;Han, D.&lt;/author&gt;&lt;author&gt;Xie, S.&lt;/author&gt;&lt;author&gt;Liu, M.&lt;/author&gt;&lt;author&gt;Xiao, X.&lt;/author&gt;&lt;author&gt;Liu, H.&lt;/author&gt;&lt;author&gt;Zhu, X.&lt;/author&gt;&lt;author&gt;Yang, Y.&lt;/author&gt;&lt;/authors&gt;&lt;/contributors&gt;&lt;titles&gt;&lt;title&gt;&lt;style face="normal" font="default" size="100%"&gt;The effects of dietary selenium on growth performances, oxidative stress and tissue selenium concentration of gibel carp (&lt;/style&gt;&lt;style face="italic" font="default" size="100%"&gt;Carassius auratus gibelio&lt;/style&gt;&lt;style face="normal" font="default" size="100%"&gt;)&lt;/style&gt;&lt;/title&gt;&lt;secondary-title&gt;Aquaculture Nutrition&lt;/secondary-title&gt;&lt;alt-title&gt;Aquaculture Nutr&lt;/alt-title&gt;&lt;/titles&gt;&lt;periodical&gt;&lt;full-title&gt;Aquaculture Nutrition&lt;/full-title&gt;&lt;/periodical&gt;&lt;pages&gt;e741-e749&lt;/pages&gt;&lt;volume&gt;17&lt;/volume&gt;&lt;number&gt;3&lt;/number&gt;&lt;keywords&gt;&lt;keyword&gt;Carassius auratus gibelio&lt;/keyword&gt;&lt;keyword&gt;glutathione peroxidase&lt;/keyword&gt;&lt;keyword&gt;selenium&lt;/keyword&gt;&lt;keyword&gt;tissue accumulation&lt;/keyword&gt;&lt;keyword&gt;weight gain&lt;/keyword&gt;&lt;/keywords&gt;&lt;dates&gt;&lt;year&gt;2011&lt;/year&gt;&lt;/dates&gt;&lt;publisher&gt;Blackwell Publishing Ltd&lt;/publisher&gt;&lt;isbn&gt;1365-2095&lt;/isbn&gt;&lt;urls&gt;&lt;related-urls&gt;&lt;url&gt;http://dx.doi.org/10.1111/j.1365-2095.2010.00841.x&lt;/url&gt;&lt;/related-urls&gt;&lt;/urls&gt;&lt;electronic-resource-num&gt;10.1111/j.1365-2095.2010.00841.x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(Han et al., 2011)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35D81" w:rsidRPr="00420E91" w:rsidTr="00554C88">
        <w:trPr>
          <w:trHeight w:val="302"/>
        </w:trPr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</w:tcPr>
          <w:p w:rsidR="00B35D81" w:rsidRPr="00420E91" w:rsidRDefault="00B35D81" w:rsidP="00B35D8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bottom"/>
          </w:tcPr>
          <w:p w:rsidR="00B35D81" w:rsidRPr="00420E91" w:rsidRDefault="00B35D81" w:rsidP="00B35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Yellowtail kingfish</w:t>
            </w: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Seriola lalandi</w:t>
            </w:r>
            <w:r w:rsidRPr="00B35D81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1358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B35D81" w:rsidRPr="00420E91" w:rsidRDefault="00B35D81" w:rsidP="00B35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B35D81" w:rsidRPr="00420E91" w:rsidRDefault="00B35D81" w:rsidP="00B35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5.56</w:t>
            </w:r>
          </w:p>
        </w:tc>
        <w:tc>
          <w:tcPr>
            <w:tcW w:w="3974" w:type="dxa"/>
            <w:tcBorders>
              <w:top w:val="nil"/>
              <w:bottom w:val="single" w:sz="4" w:space="0" w:color="auto"/>
            </w:tcBorders>
            <w:vAlign w:val="bottom"/>
          </w:tcPr>
          <w:p w:rsidR="00B35D81" w:rsidRPr="00420E91" w:rsidRDefault="00B35D81" w:rsidP="00B35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E91">
              <w:rPr>
                <w:rFonts w:ascii="Times New Roman" w:hAnsi="Times New Roman" w:cs="Times New Roman"/>
                <w:sz w:val="20"/>
                <w:szCs w:val="20"/>
              </w:rPr>
              <w:t>Growth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35D81" w:rsidRPr="00420E91" w:rsidRDefault="00547B70" w:rsidP="00B35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Regression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35D81" w:rsidRPr="00420E91" w:rsidRDefault="00365910" w:rsidP="00B35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Se-yeast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B35D81" w:rsidRPr="00420E91" w:rsidRDefault="005348A4" w:rsidP="003070B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070B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&lt;EndNote&gt;&lt;Cite&gt;&lt;Author&gt;Le&lt;/Author&gt;&lt;Year&gt;2013&lt;/Year&gt;&lt;RecNum&gt;2281&lt;/RecNum&gt;&lt;DisplayText&gt;(Le and Fotedar 2013)&lt;/DisplayText&gt;&lt;record&gt;&lt;rec-number&gt;2281&lt;/rec-number&gt;&lt;foreign-keys&gt;&lt;key app="EN" db-id="t5e520p5yp2fwbe0r2n5r90ua0ptss9s50s9" timestamp="1410441073"&gt;2281&lt;/key&gt;&lt;/foreign-keys&gt;&lt;ref-type name="Journal Article"&gt;17&lt;/ref-type&gt;&lt;contributors&gt;&lt;authors&gt;&lt;author&gt;Le, K.T&lt;/author&gt;&lt;author&gt;Fotedar, R&lt;/author&gt;&lt;/authors&gt;&lt;/contributors&gt;&lt;titles&gt;&lt;title&gt;&lt;style face="normal" font="default" size="100%"&gt;Dietary selenium requirement of yellowtail kingfish (&lt;/style&gt;&lt;style face="italic" font="default" size="100%"&gt;Seriola lalandi&lt;/style&gt;&lt;style face="normal" font="default" size="100%"&gt;)&lt;/style&gt;&lt;/title&gt;&lt;secondary-title&gt;Agricultural Sciences&lt;/secondary-title&gt;&lt;alt-title&gt;Agri Sci&lt;/alt-title&gt;&lt;/titles&gt;&lt;periodical&gt;&lt;full-title&gt;Agricultural Sciences&lt;/full-title&gt;&lt;/periodical&gt;&lt;pages&gt;68-75&lt;/pages&gt;&lt;volume&gt;4&lt;/volume&gt;&lt;number&gt;6a&lt;/number&gt;&lt;dates&gt;&lt;year&gt;2013&lt;/year&gt;&lt;/dates&gt;&lt;isbn&gt;2156-8553&lt;/isbn&gt;&lt;urls&gt;&lt;related-urls&gt;&lt;url&gt;http://dx.doi.org/10.4236/as.2013.46A011&lt;/url&gt;&lt;/related-urls&gt;&lt;pdf-urls&gt;&lt;url&gt;U:\PDF\Readcube\Agricultural Sciences 2013 Le K.pdf&lt;/url&gt;&lt;/pdf-urls&gt;&lt;/urls&gt;&lt;electronic-resource-num&gt;10.4236/as.2013.46A011&lt;/electronic-resource-num&gt;&lt;remote-database-name&gt;READCUBE&lt;/remote-database-name&gt;&lt;/record&gt;&lt;/Cite&gt;&lt;/EndNote&gt;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70BE">
              <w:rPr>
                <w:rFonts w:ascii="Times New Roman" w:hAnsi="Times New Roman" w:cs="Times New Roman"/>
                <w:noProof/>
                <w:sz w:val="20"/>
                <w:szCs w:val="20"/>
              </w:rPr>
              <w:t>(Le and Fotedar 2013)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3E1D74" w:rsidRDefault="00665CAB" w:rsidP="006313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Abbreviations; Sec, selenocysteine, SEPP</w:t>
      </w:r>
      <w:r w:rsidR="00D21DA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, Selenoprotein P; TXNRD, thioredoxin reductase; GPX, glutathione peroxidase</w:t>
      </w:r>
      <w:r w:rsidR="003E1D74">
        <w:rPr>
          <w:rFonts w:ascii="Times New Roman" w:hAnsi="Times New Roman" w:cs="Times New Roman"/>
          <w:sz w:val="20"/>
          <w:szCs w:val="20"/>
        </w:rPr>
        <w:t>; BLR, Broken line regression</w:t>
      </w:r>
      <w:r w:rsidR="006E50AE">
        <w:rPr>
          <w:rFonts w:ascii="Times New Roman" w:hAnsi="Times New Roman" w:cs="Times New Roman"/>
          <w:sz w:val="20"/>
          <w:szCs w:val="20"/>
        </w:rPr>
        <w:t xml:space="preserve">; </w:t>
      </w:r>
      <w:r w:rsidR="006E50AE" w:rsidRPr="00420E91">
        <w:rPr>
          <w:rFonts w:ascii="Times New Roman" w:hAnsi="Times New Roman" w:cs="Times New Roman"/>
          <w:sz w:val="20"/>
          <w:szCs w:val="20"/>
        </w:rPr>
        <w:t>Na</w:t>
      </w:r>
      <w:r w:rsidR="006E50AE" w:rsidRPr="00420E9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6E50AE" w:rsidRPr="00420E91">
        <w:rPr>
          <w:rFonts w:ascii="Times New Roman" w:hAnsi="Times New Roman" w:cs="Times New Roman"/>
          <w:sz w:val="20"/>
          <w:szCs w:val="20"/>
        </w:rPr>
        <w:t>SeO</w:t>
      </w:r>
      <w:r w:rsidR="006E50AE" w:rsidRPr="00420E9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6E50AE" w:rsidRPr="006E50AE">
        <w:rPr>
          <w:rFonts w:ascii="Times New Roman" w:hAnsi="Times New Roman" w:cs="Times New Roman"/>
          <w:sz w:val="20"/>
          <w:szCs w:val="20"/>
        </w:rPr>
        <w:t>, sodium selen</w:t>
      </w:r>
      <w:r w:rsidR="006E50AE">
        <w:rPr>
          <w:rFonts w:ascii="Times New Roman" w:hAnsi="Times New Roman" w:cs="Times New Roman"/>
          <w:sz w:val="20"/>
          <w:szCs w:val="20"/>
        </w:rPr>
        <w:t xml:space="preserve">ate; </w:t>
      </w:r>
      <w:r w:rsidR="006E50AE" w:rsidRPr="00420E91">
        <w:rPr>
          <w:rFonts w:ascii="Times New Roman" w:hAnsi="Times New Roman" w:cs="Times New Roman"/>
          <w:sz w:val="20"/>
          <w:szCs w:val="20"/>
        </w:rPr>
        <w:t>Na</w:t>
      </w:r>
      <w:r w:rsidR="006E50AE" w:rsidRPr="00420E9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6E50AE" w:rsidRPr="00420E91">
        <w:rPr>
          <w:rFonts w:ascii="Times New Roman" w:hAnsi="Times New Roman" w:cs="Times New Roman"/>
          <w:sz w:val="20"/>
          <w:szCs w:val="20"/>
        </w:rPr>
        <w:t>SeO</w:t>
      </w:r>
      <w:r w:rsidR="006E50AE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6E50AE" w:rsidRPr="006E50AE">
        <w:rPr>
          <w:rFonts w:ascii="Times New Roman" w:hAnsi="Times New Roman" w:cs="Times New Roman"/>
          <w:sz w:val="20"/>
          <w:szCs w:val="20"/>
        </w:rPr>
        <w:t>, sodium selenite</w:t>
      </w:r>
      <w:r w:rsidR="006E50AE">
        <w:rPr>
          <w:rFonts w:ascii="Times New Roman" w:hAnsi="Times New Roman" w:cs="Times New Roman"/>
          <w:sz w:val="20"/>
          <w:szCs w:val="20"/>
        </w:rPr>
        <w:t xml:space="preserve">; Se-yeast, selenoyeast; </w:t>
      </w:r>
      <w:r w:rsidR="006E50AE" w:rsidRPr="00420E91">
        <w:rPr>
          <w:rFonts w:ascii="Times New Roman" w:hAnsi="Times New Roman" w:cs="Times New Roman"/>
          <w:sz w:val="20"/>
          <w:szCs w:val="20"/>
        </w:rPr>
        <w:t>NaHSeO</w:t>
      </w:r>
      <w:r w:rsidR="006E50AE" w:rsidRPr="00420E91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6E50AE">
        <w:rPr>
          <w:rFonts w:ascii="Times New Roman" w:hAnsi="Times New Roman" w:cs="Times New Roman"/>
          <w:sz w:val="20"/>
          <w:szCs w:val="20"/>
        </w:rPr>
        <w:t>, sodium hydride selenite; SeMet, selenomethionine</w:t>
      </w:r>
      <w:r w:rsidR="005348A4">
        <w:rPr>
          <w:rFonts w:ascii="Times New Roman" w:hAnsi="Times New Roman" w:cs="Times New Roman"/>
          <w:sz w:val="20"/>
          <w:szCs w:val="20"/>
        </w:rPr>
        <w:t>.</w:t>
      </w:r>
    </w:p>
    <w:p w:rsidR="00E614FE" w:rsidRDefault="00BD0241" w:rsidP="006313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20E91">
        <w:rPr>
          <w:rFonts w:ascii="Times New Roman" w:hAnsi="Times New Roman" w:cs="Times New Roman"/>
          <w:sz w:val="20"/>
          <w:szCs w:val="20"/>
        </w:rPr>
        <w:t xml:space="preserve">* Methods utilised to analyse tissue GPX activity are unable to distinguish between isoforms, so are listed as </w:t>
      </w:r>
      <w:r w:rsidR="00AD40C3">
        <w:rPr>
          <w:rFonts w:ascii="Times New Roman" w:hAnsi="Times New Roman" w:cs="Times New Roman"/>
          <w:sz w:val="20"/>
          <w:szCs w:val="20"/>
        </w:rPr>
        <w:t>t</w:t>
      </w:r>
      <w:r w:rsidRPr="00420E91">
        <w:rPr>
          <w:rFonts w:ascii="Times New Roman" w:hAnsi="Times New Roman" w:cs="Times New Roman"/>
          <w:sz w:val="20"/>
          <w:szCs w:val="20"/>
        </w:rPr>
        <w:t xml:space="preserve">otal GPX activity. </w:t>
      </w:r>
      <w:r w:rsidR="00AD40C3">
        <w:rPr>
          <w:rFonts w:ascii="Times New Roman" w:hAnsi="Times New Roman" w:cs="Times New Roman"/>
          <w:sz w:val="20"/>
          <w:szCs w:val="20"/>
        </w:rPr>
        <w:t>However,</w:t>
      </w:r>
      <w:r w:rsidRPr="00420E91">
        <w:rPr>
          <w:rFonts w:ascii="Times New Roman" w:hAnsi="Times New Roman" w:cs="Times New Roman"/>
          <w:sz w:val="20"/>
          <w:szCs w:val="20"/>
        </w:rPr>
        <w:t xml:space="preserve"> in mammals GPX1 is responsible for the majority of total GPX activity </w:t>
      </w:r>
      <w:r w:rsidR="00FB4F12" w:rsidRPr="00420E91">
        <w:rPr>
          <w:rFonts w:ascii="Times New Roman" w:hAnsi="Times New Roman" w:cs="Times New Roman"/>
          <w:sz w:val="20"/>
          <w:szCs w:val="20"/>
        </w:rPr>
        <w:fldChar w:fldCharType="begin"/>
      </w:r>
      <w:r w:rsidR="00D64900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&lt;EndNote&gt;&lt;Cite&gt;&lt;Author&gt;Brigelius-Flohe&lt;/Author&gt;&lt;Year&gt;2002&lt;/Year&gt;&lt;RecNum&gt;206&lt;/RecNum&gt;&lt;DisplayText&gt;(Brigelius-Flohe et al., 2002)&lt;/DisplayText&gt;&lt;record&gt;&lt;rec-number&gt;206&lt;/rec-number&gt;&lt;foreign-keys&gt;&lt;key app="EN" db-id="t5e520p5yp2fwbe0r2n5r90ua0ptss9s50s9" timestamp="0"&gt;206&lt;/key&gt;&lt;/foreign-keys&gt;&lt;ref-type name="Journal Article"&gt;17&lt;/ref-type&gt;&lt;contributors&gt;&lt;authors&gt;&lt;author&gt;Brigelius-Flohe, Regina&lt;/author&gt;&lt;author&gt;Wingler, Kirsten&lt;/author&gt;&lt;author&gt;Muller, Cordula&lt;/author&gt;&lt;/authors&gt;&lt;/contributors&gt;&lt;titles&gt;&lt;title&gt;Estimation of Individual types of Glutathione Peroxidases&lt;/title&gt;&lt;secondary-title&gt;Methods in Enzymology&lt;/secondary-title&gt;&lt;alt-title&gt;Method Enzymol&lt;/alt-title&gt;&lt;/titles&gt;&lt;periodical&gt;&lt;full-title&gt;Methods in Enzymology&lt;/full-title&gt;&lt;/periodical&gt;&lt;pages&gt;101-112&lt;/pages&gt;&lt;volume&gt;347&lt;/volume&gt;&lt;dates&gt;&lt;year&gt;2002&lt;/year&gt;&lt;/dates&gt;&lt;urls&gt;&lt;/urls&gt;&lt;/record&gt;&lt;/Cite&gt;&lt;/EndNote&gt;</w:instrText>
      </w:r>
      <w:r w:rsidR="00FB4F12" w:rsidRPr="00420E91">
        <w:rPr>
          <w:rFonts w:ascii="Times New Roman" w:hAnsi="Times New Roman" w:cs="Times New Roman"/>
          <w:sz w:val="20"/>
          <w:szCs w:val="20"/>
        </w:rPr>
        <w:fldChar w:fldCharType="separate"/>
      </w:r>
      <w:r w:rsidR="00FB4F12" w:rsidRPr="00420E91">
        <w:rPr>
          <w:rFonts w:ascii="Times New Roman" w:hAnsi="Times New Roman" w:cs="Times New Roman"/>
          <w:noProof/>
          <w:sz w:val="20"/>
          <w:szCs w:val="20"/>
        </w:rPr>
        <w:t>(Brigelius-Flohe et al., 2002)</w:t>
      </w:r>
      <w:r w:rsidR="00FB4F12" w:rsidRPr="00420E91">
        <w:rPr>
          <w:rFonts w:ascii="Times New Roman" w:hAnsi="Times New Roman" w:cs="Times New Roman"/>
          <w:sz w:val="20"/>
          <w:szCs w:val="20"/>
        </w:rPr>
        <w:fldChar w:fldCharType="end"/>
      </w:r>
      <w:r w:rsidRPr="00420E9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35864" w:rsidRPr="00135864" w:rsidRDefault="00135864" w:rsidP="0013586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35864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he authors of the guinea pig study state a Se requirement of 0.08 mg Se/kg DM, which includes a s</w:t>
      </w:r>
      <w:r w:rsidR="00C40A8C">
        <w:rPr>
          <w:rFonts w:ascii="Times New Roman" w:hAnsi="Times New Roman" w:cs="Times New Roman"/>
          <w:sz w:val="20"/>
          <w:szCs w:val="20"/>
        </w:rPr>
        <w:t>afety margin above the 0.06 mg S</w:t>
      </w:r>
      <w:r>
        <w:rPr>
          <w:rFonts w:ascii="Times New Roman" w:hAnsi="Times New Roman" w:cs="Times New Roman"/>
          <w:sz w:val="20"/>
          <w:szCs w:val="20"/>
        </w:rPr>
        <w:t xml:space="preserve">e/kg DM predicted with BLR.  </w:t>
      </w:r>
    </w:p>
    <w:p w:rsidR="00135864" w:rsidRDefault="00135864" w:rsidP="0013586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3586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20E91">
        <w:rPr>
          <w:rFonts w:ascii="Times New Roman" w:hAnsi="Times New Roman" w:cs="Times New Roman"/>
          <w:sz w:val="20"/>
          <w:szCs w:val="20"/>
        </w:rPr>
        <w:t>Data from actively growing juvenile animals was utilised in preference to adults</w:t>
      </w:r>
    </w:p>
    <w:p w:rsidR="002239D7" w:rsidRPr="005F5C95" w:rsidRDefault="00135864" w:rsidP="0063138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239D7">
        <w:rPr>
          <w:rFonts w:ascii="Times New Roman" w:hAnsi="Times New Roman" w:cs="Times New Roman"/>
          <w:sz w:val="20"/>
          <w:szCs w:val="20"/>
        </w:rPr>
        <w:t xml:space="preserve">Sec content of these species were based on closely related species (Gibel carp </w:t>
      </w:r>
      <w:r w:rsidR="002239D7" w:rsidRPr="005F5C95">
        <w:rPr>
          <w:rFonts w:ascii="Times New Roman" w:hAnsi="Times New Roman" w:cs="Times New Roman"/>
          <w:color w:val="000000" w:themeColor="text1"/>
          <w:sz w:val="20"/>
          <w:szCs w:val="20"/>
        </w:rPr>
        <w:t>and loach are both cyprinids, as are common carp (</w:t>
      </w:r>
      <w:r w:rsidR="002239D7" w:rsidRPr="005F5C9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Cyprinus carpo</w:t>
      </w:r>
      <w:r w:rsidR="002239D7" w:rsidRPr="005F5C95">
        <w:rPr>
          <w:rFonts w:ascii="Times New Roman" w:hAnsi="Times New Roman" w:cs="Times New Roman"/>
          <w:color w:val="000000" w:themeColor="text1"/>
          <w:sz w:val="20"/>
          <w:szCs w:val="20"/>
        </w:rPr>
        <w:t>) and zebrafish which both have SEPP</w:t>
      </w:r>
      <w:r w:rsidR="00AD40C3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2239D7" w:rsidRPr="005F5C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4A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(SEPP1a) </w:t>
      </w:r>
      <w:r w:rsidR="002239D7" w:rsidRPr="005F5C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with 17 Sec residues) or on </w:t>
      </w:r>
      <w:r w:rsidR="002F5DE7" w:rsidRPr="005F5C95">
        <w:rPr>
          <w:rFonts w:ascii="Times New Roman" w:hAnsi="Times New Roman" w:cs="Times New Roman"/>
          <w:color w:val="000000" w:themeColor="text1"/>
          <w:sz w:val="20"/>
          <w:szCs w:val="20"/>
        </w:rPr>
        <w:t>salt water fish (</w:t>
      </w:r>
      <w:r w:rsidR="008F454E" w:rsidRPr="005F5C95">
        <w:rPr>
          <w:rFonts w:ascii="Times New Roman" w:hAnsi="Times New Roman" w:cs="Times New Roman"/>
          <w:color w:val="000000" w:themeColor="text1"/>
          <w:sz w:val="20"/>
          <w:szCs w:val="20"/>
        </w:rPr>
        <w:t>Both green spotted pufferfish (</w:t>
      </w:r>
      <w:r w:rsidR="008F454E" w:rsidRPr="005F5C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Tetraodon nigroviridis) and </w:t>
      </w:r>
      <w:r w:rsidR="005F5C95" w:rsidRPr="005F5C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fugu (</w:t>
      </w:r>
      <w:r w:rsidR="005F5C95" w:rsidRPr="005F5C95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shd w:val="clear" w:color="auto" w:fill="FFFFFF"/>
        </w:rPr>
        <w:t>Takifugu rubripes</w:t>
      </w:r>
      <w:r w:rsidR="005F5C95" w:rsidRPr="005F5C95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)</w:t>
      </w:r>
      <w:r w:rsidR="005F5C95" w:rsidRPr="005F5C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F5C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have SEPP</w:t>
      </w:r>
      <w:r w:rsidR="00F6714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</w:t>
      </w:r>
      <w:r w:rsidR="005F5C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with 17 Sec residues). Irrespective of this, the range of Sec residues found in fish SEPP is small, being 15 to 17 </w:t>
      </w:r>
      <w:r w:rsidR="00D6490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fldChar w:fldCharType="begin"/>
      </w:r>
      <w:r w:rsidR="003070B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instrText xml:space="preserve"> ADDIN EN.CITE &lt;EndNote&gt;&lt;Cite&gt;&lt;Author&gt;Lobanov&lt;/Author&gt;&lt;Year&gt;2008&lt;/Year&gt;&lt;RecNum&gt;1613&lt;/RecNum&gt;&lt;DisplayText&gt;(Lobanov et al., 2008)&lt;/DisplayText&gt;&lt;record&gt;&lt;rec-number&gt;1613&lt;/rec-number&gt;&lt;foreign-keys&gt;&lt;key app="EN" db-id="t5e520p5yp2fwbe0r2n5r90ua0ptss9s50s9" timestamp="1343127793"&gt;1613&lt;/key&gt;&lt;/foreign-keys&gt;&lt;ref-type name="Journal Article"&gt;17&lt;/ref-type&gt;&lt;contributors&gt;&lt;authors&gt;&lt;author&gt;Lobanov, Alexey&lt;/author&gt;&lt;author&gt;Hatfield, Dolph&lt;/author&gt;&lt;author&gt;Gladyshev, Vadim&lt;/author&gt;&lt;/authors&gt;&lt;/contributors&gt;&lt;titles&gt;&lt;title&gt;Reduced reliance on the trace element selenium during evolution of mammals&lt;/title&gt;&lt;secondary-title&gt;Genome Biology&lt;/secondary-title&gt;&lt;alt-title&gt;Genome Biol&lt;/alt-title&gt;&lt;/titles&gt;&lt;periodical&gt;&lt;full-title&gt;Genome Biology&lt;/full-title&gt;&lt;/periodical&gt;&lt;pages&gt;R62&lt;/pages&gt;&lt;volume&gt;9&lt;/volume&gt;&lt;number&gt;3&lt;/number&gt;&lt;dates&gt;&lt;year&gt;2008&lt;/year&gt;&lt;/dates&gt;&lt;isbn&gt;1465-6906&lt;/isbn&gt;&lt;accession-num&gt;doi:10.1186/gb-2008-9-3-r62&lt;/accession-num&gt;&lt;urls&gt;&lt;related-urls&gt;&lt;url&gt;http://genomebiology.com/2008/9/3/R62&lt;/url&gt;&lt;/related-urls&gt;&lt;/urls&gt;&lt;electronic-resource-num&gt;10.1186/gb-2008-9-3-r62&lt;/electronic-resource-num&gt;&lt;/record&gt;&lt;/Cite&gt;&lt;/EndNote&gt;</w:instrText>
      </w:r>
      <w:r w:rsidR="00D6490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fldChar w:fldCharType="separate"/>
      </w:r>
      <w:r w:rsidR="00D64900">
        <w:rPr>
          <w:rFonts w:ascii="Times New Roman" w:hAnsi="Times New Roman" w:cs="Times New Roman"/>
          <w:noProof/>
          <w:color w:val="000000" w:themeColor="text1"/>
          <w:sz w:val="20"/>
          <w:szCs w:val="20"/>
          <w:shd w:val="clear" w:color="auto" w:fill="FFFFFF"/>
        </w:rPr>
        <w:t>(Lobanov et al., 2008)</w:t>
      </w:r>
      <w:r w:rsidR="00D6490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fldChar w:fldCharType="end"/>
      </w:r>
      <w:r w:rsidR="005F5C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7F6EB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sectPr w:rsidR="002239D7" w:rsidRPr="005F5C95" w:rsidSect="00420E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581" w:rsidRDefault="00D30581" w:rsidP="00A34407">
      <w:pPr>
        <w:spacing w:line="240" w:lineRule="auto"/>
      </w:pPr>
      <w:r>
        <w:separator/>
      </w:r>
    </w:p>
  </w:endnote>
  <w:endnote w:type="continuationSeparator" w:id="0">
    <w:p w:rsidR="00D30581" w:rsidRDefault="00D30581" w:rsidP="00A34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581" w:rsidRDefault="00D30581" w:rsidP="00A34407">
      <w:pPr>
        <w:spacing w:line="240" w:lineRule="auto"/>
      </w:pPr>
      <w:r>
        <w:separator/>
      </w:r>
    </w:p>
  </w:footnote>
  <w:footnote w:type="continuationSeparator" w:id="0">
    <w:p w:rsidR="00D30581" w:rsidRDefault="00D30581" w:rsidP="00A344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eLif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e520p5yp2fwbe0r2n5r90ua0ptss9s50s9&quot;&gt;endnote Copy&lt;record-ids&gt;&lt;item&gt;17&lt;/item&gt;&lt;item&gt;30&lt;/item&gt;&lt;item&gt;159&lt;/item&gt;&lt;item&gt;206&lt;/item&gt;&lt;item&gt;315&lt;/item&gt;&lt;item&gt;318&lt;/item&gt;&lt;item&gt;489&lt;/item&gt;&lt;item&gt;1276&lt;/item&gt;&lt;item&gt;1282&lt;/item&gt;&lt;item&gt;1452&lt;/item&gt;&lt;item&gt;1603&lt;/item&gt;&lt;item&gt;1613&lt;/item&gt;&lt;item&gt;1735&lt;/item&gt;&lt;item&gt;2209&lt;/item&gt;&lt;item&gt;2230&lt;/item&gt;&lt;item&gt;2233&lt;/item&gt;&lt;item&gt;2234&lt;/item&gt;&lt;item&gt;2235&lt;/item&gt;&lt;item&gt;2236&lt;/item&gt;&lt;item&gt;2249&lt;/item&gt;&lt;item&gt;2281&lt;/item&gt;&lt;/record-ids&gt;&lt;/item&gt;&lt;/Libraries&gt;"/>
  </w:docVars>
  <w:rsids>
    <w:rsidRoot w:val="008A15DA"/>
    <w:rsid w:val="00031035"/>
    <w:rsid w:val="000704C0"/>
    <w:rsid w:val="000835F6"/>
    <w:rsid w:val="000967E5"/>
    <w:rsid w:val="000B6C78"/>
    <w:rsid w:val="000D468B"/>
    <w:rsid w:val="000D516D"/>
    <w:rsid w:val="000F6386"/>
    <w:rsid w:val="000F7536"/>
    <w:rsid w:val="00116A44"/>
    <w:rsid w:val="00132671"/>
    <w:rsid w:val="00135864"/>
    <w:rsid w:val="00151CB9"/>
    <w:rsid w:val="00174815"/>
    <w:rsid w:val="00197129"/>
    <w:rsid w:val="001B14D9"/>
    <w:rsid w:val="001D3A09"/>
    <w:rsid w:val="00204E35"/>
    <w:rsid w:val="002239D7"/>
    <w:rsid w:val="00225C35"/>
    <w:rsid w:val="00233A27"/>
    <w:rsid w:val="00283642"/>
    <w:rsid w:val="002A6D8B"/>
    <w:rsid w:val="002B08AA"/>
    <w:rsid w:val="002D0186"/>
    <w:rsid w:val="002D2EF4"/>
    <w:rsid w:val="002F5DE7"/>
    <w:rsid w:val="002F6B16"/>
    <w:rsid w:val="003070BE"/>
    <w:rsid w:val="003122F1"/>
    <w:rsid w:val="00331240"/>
    <w:rsid w:val="00351F0F"/>
    <w:rsid w:val="00365910"/>
    <w:rsid w:val="00397D72"/>
    <w:rsid w:val="003A328C"/>
    <w:rsid w:val="003C5529"/>
    <w:rsid w:val="003C6712"/>
    <w:rsid w:val="003D0CCA"/>
    <w:rsid w:val="003D29AA"/>
    <w:rsid w:val="003D61F5"/>
    <w:rsid w:val="003E1D74"/>
    <w:rsid w:val="00420E91"/>
    <w:rsid w:val="00464C1D"/>
    <w:rsid w:val="004929E3"/>
    <w:rsid w:val="004B3085"/>
    <w:rsid w:val="004B67A1"/>
    <w:rsid w:val="004B7CE3"/>
    <w:rsid w:val="004D18B3"/>
    <w:rsid w:val="004D294E"/>
    <w:rsid w:val="004D49F6"/>
    <w:rsid w:val="004F7F77"/>
    <w:rsid w:val="00513224"/>
    <w:rsid w:val="005348A4"/>
    <w:rsid w:val="00535A36"/>
    <w:rsid w:val="00535D51"/>
    <w:rsid w:val="00540610"/>
    <w:rsid w:val="005444C8"/>
    <w:rsid w:val="00547B70"/>
    <w:rsid w:val="00554C88"/>
    <w:rsid w:val="005652AD"/>
    <w:rsid w:val="00577135"/>
    <w:rsid w:val="005A74AC"/>
    <w:rsid w:val="005A7BD9"/>
    <w:rsid w:val="005C1E40"/>
    <w:rsid w:val="005D71DA"/>
    <w:rsid w:val="005F081C"/>
    <w:rsid w:val="005F5C95"/>
    <w:rsid w:val="00623784"/>
    <w:rsid w:val="00631386"/>
    <w:rsid w:val="00657FEA"/>
    <w:rsid w:val="00665CAB"/>
    <w:rsid w:val="006D4EF9"/>
    <w:rsid w:val="006E50AE"/>
    <w:rsid w:val="006F2AE0"/>
    <w:rsid w:val="00706A16"/>
    <w:rsid w:val="00711698"/>
    <w:rsid w:val="00712BD3"/>
    <w:rsid w:val="00743643"/>
    <w:rsid w:val="00752BB9"/>
    <w:rsid w:val="00773123"/>
    <w:rsid w:val="00776FD0"/>
    <w:rsid w:val="00786228"/>
    <w:rsid w:val="007A14CF"/>
    <w:rsid w:val="007A3904"/>
    <w:rsid w:val="007E3FF1"/>
    <w:rsid w:val="007E59B2"/>
    <w:rsid w:val="007E6E1A"/>
    <w:rsid w:val="007F6EBD"/>
    <w:rsid w:val="008031BA"/>
    <w:rsid w:val="00803BA3"/>
    <w:rsid w:val="00825221"/>
    <w:rsid w:val="008368B3"/>
    <w:rsid w:val="00843BFD"/>
    <w:rsid w:val="0085441A"/>
    <w:rsid w:val="00854A62"/>
    <w:rsid w:val="0087169B"/>
    <w:rsid w:val="00880487"/>
    <w:rsid w:val="0088607A"/>
    <w:rsid w:val="008A15DA"/>
    <w:rsid w:val="008C490F"/>
    <w:rsid w:val="008F454E"/>
    <w:rsid w:val="00951CF7"/>
    <w:rsid w:val="00952CB1"/>
    <w:rsid w:val="009A7203"/>
    <w:rsid w:val="009C0179"/>
    <w:rsid w:val="009D4100"/>
    <w:rsid w:val="009E42BD"/>
    <w:rsid w:val="00A34407"/>
    <w:rsid w:val="00AA4E98"/>
    <w:rsid w:val="00AA69F4"/>
    <w:rsid w:val="00AD40C3"/>
    <w:rsid w:val="00AD6F19"/>
    <w:rsid w:val="00AF2F54"/>
    <w:rsid w:val="00B16F0F"/>
    <w:rsid w:val="00B312E0"/>
    <w:rsid w:val="00B35D81"/>
    <w:rsid w:val="00B41F4A"/>
    <w:rsid w:val="00B47D2F"/>
    <w:rsid w:val="00B61692"/>
    <w:rsid w:val="00B83EAB"/>
    <w:rsid w:val="00BD0241"/>
    <w:rsid w:val="00BD7E97"/>
    <w:rsid w:val="00C14A65"/>
    <w:rsid w:val="00C40A8C"/>
    <w:rsid w:val="00C50308"/>
    <w:rsid w:val="00C618A2"/>
    <w:rsid w:val="00CC4624"/>
    <w:rsid w:val="00CC6DD3"/>
    <w:rsid w:val="00CE4AAE"/>
    <w:rsid w:val="00D21DA4"/>
    <w:rsid w:val="00D23360"/>
    <w:rsid w:val="00D2714A"/>
    <w:rsid w:val="00D30581"/>
    <w:rsid w:val="00D42FE7"/>
    <w:rsid w:val="00D51EF1"/>
    <w:rsid w:val="00D6163C"/>
    <w:rsid w:val="00D64900"/>
    <w:rsid w:val="00DA2A69"/>
    <w:rsid w:val="00DB7A57"/>
    <w:rsid w:val="00DD1921"/>
    <w:rsid w:val="00DF332B"/>
    <w:rsid w:val="00E15492"/>
    <w:rsid w:val="00E17664"/>
    <w:rsid w:val="00E31BC7"/>
    <w:rsid w:val="00E36D82"/>
    <w:rsid w:val="00E529DB"/>
    <w:rsid w:val="00E53947"/>
    <w:rsid w:val="00E614FE"/>
    <w:rsid w:val="00E645AB"/>
    <w:rsid w:val="00E86A16"/>
    <w:rsid w:val="00F06452"/>
    <w:rsid w:val="00F378D4"/>
    <w:rsid w:val="00F43D76"/>
    <w:rsid w:val="00F54DA0"/>
    <w:rsid w:val="00F602E8"/>
    <w:rsid w:val="00F6367F"/>
    <w:rsid w:val="00F67144"/>
    <w:rsid w:val="00F67D8A"/>
    <w:rsid w:val="00F70E10"/>
    <w:rsid w:val="00FB4F12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7152E4A-CA59-4D80-832A-39CDCF57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6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614FE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14F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614F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614FE"/>
    <w:rPr>
      <w:rFonts w:ascii="Calibri" w:hAnsi="Calibri"/>
      <w:noProof/>
      <w:lang w:val="en-US"/>
    </w:rPr>
  </w:style>
  <w:style w:type="paragraph" w:styleId="Subtitle">
    <w:name w:val="Subtitle"/>
    <w:basedOn w:val="Normal"/>
    <w:next w:val="Normal"/>
    <w:link w:val="SubtitleChar"/>
    <w:rsid w:val="00225C35"/>
    <w:pPr>
      <w:suppressAutoHyphens/>
      <w:autoSpaceDN w:val="0"/>
      <w:spacing w:before="280" w:after="280" w:line="360" w:lineRule="auto"/>
      <w:textAlignment w:val="baseline"/>
    </w:pPr>
    <w:rPr>
      <w:rFonts w:ascii="Arial" w:eastAsia="Times New Roman" w:hAnsi="Arial" w:cs="Times New Roman"/>
      <w:b/>
      <w:i/>
      <w:iCs/>
      <w:kern w:val="3"/>
      <w:sz w:val="28"/>
      <w:szCs w:val="28"/>
      <w:lang w:eastAsia="hi-IN" w:bidi="hi-IN"/>
    </w:rPr>
  </w:style>
  <w:style w:type="character" w:customStyle="1" w:styleId="SubtitleChar">
    <w:name w:val="Subtitle Char"/>
    <w:basedOn w:val="DefaultParagraphFont"/>
    <w:link w:val="Subtitle"/>
    <w:rsid w:val="00225C35"/>
    <w:rPr>
      <w:rFonts w:ascii="Arial" w:eastAsia="Times New Roman" w:hAnsi="Arial" w:cs="Times New Roman"/>
      <w:b/>
      <w:i/>
      <w:iCs/>
      <w:kern w:val="3"/>
      <w:sz w:val="28"/>
      <w:szCs w:val="28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6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6DD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in-line-coding">
    <w:name w:val="in-line-coding"/>
    <w:basedOn w:val="DefaultParagraphFont"/>
    <w:rsid w:val="00CC6DD3"/>
  </w:style>
  <w:style w:type="character" w:customStyle="1" w:styleId="in-line-sec-prot">
    <w:name w:val="in-line-sec-prot"/>
    <w:basedOn w:val="DefaultParagraphFont"/>
    <w:rsid w:val="00CC6DD3"/>
  </w:style>
  <w:style w:type="character" w:styleId="Hyperlink">
    <w:name w:val="Hyperlink"/>
    <w:basedOn w:val="DefaultParagraphFont"/>
    <w:uiPriority w:val="99"/>
    <w:unhideWhenUsed/>
    <w:rsid w:val="00CC6DD3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C6D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44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07"/>
  </w:style>
  <w:style w:type="paragraph" w:styleId="Footer">
    <w:name w:val="footer"/>
    <w:basedOn w:val="Normal"/>
    <w:link w:val="FooterChar"/>
    <w:uiPriority w:val="99"/>
    <w:unhideWhenUsed/>
    <w:rsid w:val="00A344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77F8-80A1-4254-A9B6-33D5A97D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3613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NIFES</Company>
  <LinksUpToDate>false</LinksUpToDate>
  <CharactersWithSpaces>24160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James Penglase</dc:creator>
  <cp:keywords/>
  <dc:description/>
  <cp:lastModifiedBy>Samuel James Penglase</cp:lastModifiedBy>
  <cp:revision>2</cp:revision>
  <dcterms:created xsi:type="dcterms:W3CDTF">2015-01-07T09:44:00Z</dcterms:created>
  <dcterms:modified xsi:type="dcterms:W3CDTF">2015-01-07T09:44:00Z</dcterms:modified>
</cp:coreProperties>
</file>