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DEA" w:rsidRDefault="00D35DEA" w:rsidP="00D35DEA">
      <w:pPr>
        <w:rPr>
          <w:sz w:val="48"/>
          <w:szCs w:val="48"/>
        </w:rPr>
      </w:pPr>
      <w:r>
        <w:rPr>
          <w:noProof/>
          <w:sz w:val="48"/>
          <w:szCs w:val="48"/>
          <w:lang w:val="es-PE" w:eastAsia="es-PE"/>
        </w:rPr>
        <w:drawing>
          <wp:anchor distT="0" distB="0" distL="114300" distR="114300" simplePos="0" relativeHeight="251659264" behindDoc="0" locked="0" layoutInCell="1" allowOverlap="1">
            <wp:simplePos x="0" y="0"/>
            <wp:positionH relativeFrom="column">
              <wp:posOffset>4897263</wp:posOffset>
            </wp:positionH>
            <wp:positionV relativeFrom="paragraph">
              <wp:posOffset>14605</wp:posOffset>
            </wp:positionV>
            <wp:extent cx="482396" cy="471949"/>
            <wp:effectExtent l="19050" t="0" r="0" b="0"/>
            <wp:wrapNone/>
            <wp:docPr id="13" name="il_fi" descr="http://profile.ak.fbcdn.net/hprofile-ak-snc4/174798_229553541336_7428923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file.ak.fbcdn.net/hprofile-ak-snc4/174798_229553541336_7428923_q.jpg"/>
                    <pic:cNvPicPr>
                      <a:picLocks noChangeAspect="1" noChangeArrowheads="1"/>
                    </pic:cNvPicPr>
                  </pic:nvPicPr>
                  <pic:blipFill>
                    <a:blip r:embed="rId8" cstate="print"/>
                    <a:stretch>
                      <a:fillRect/>
                    </a:stretch>
                  </pic:blipFill>
                  <pic:spPr bwMode="auto">
                    <a:xfrm>
                      <a:off x="0" y="0"/>
                      <a:ext cx="482396" cy="471949"/>
                    </a:xfrm>
                    <a:prstGeom prst="rect">
                      <a:avLst/>
                    </a:prstGeom>
                    <a:noFill/>
                    <a:ln w="9525">
                      <a:noFill/>
                      <a:miter lim="800000"/>
                      <a:headEnd/>
                      <a:tailEnd/>
                    </a:ln>
                  </pic:spPr>
                </pic:pic>
              </a:graphicData>
            </a:graphic>
          </wp:anchor>
        </w:drawing>
      </w:r>
      <w:r>
        <w:rPr>
          <w:sz w:val="48"/>
          <w:szCs w:val="48"/>
        </w:rPr>
        <w:t>FISIOLOGÍA VEGETAL AVANZADA</w:t>
      </w:r>
    </w:p>
    <w:p w:rsidR="00D35DEA" w:rsidRDefault="00D35DEA" w:rsidP="00D35DEA">
      <w:pPr>
        <w:rPr>
          <w:sz w:val="48"/>
          <w:szCs w:val="48"/>
        </w:rPr>
      </w:pPr>
      <w:r>
        <w:rPr>
          <w:sz w:val="48"/>
          <w:szCs w:val="48"/>
        </w:rPr>
        <w:t>BIOLOGÍA EXPERIMENTAL I</w:t>
      </w:r>
    </w:p>
    <w:p w:rsidR="00D35DEA" w:rsidRDefault="00D35DEA" w:rsidP="00D35DEA">
      <w:pPr>
        <w:rPr>
          <w:sz w:val="48"/>
          <w:szCs w:val="48"/>
        </w:rPr>
      </w:pPr>
    </w:p>
    <w:p w:rsidR="00D35DEA" w:rsidRDefault="00D35DEA" w:rsidP="00D35DEA">
      <w:pPr>
        <w:rPr>
          <w:sz w:val="48"/>
          <w:szCs w:val="48"/>
        </w:rPr>
      </w:pPr>
    </w:p>
    <w:p w:rsidR="00D35DEA" w:rsidRDefault="00D35DEA" w:rsidP="00D35DEA">
      <w:pPr>
        <w:rPr>
          <w:sz w:val="48"/>
          <w:szCs w:val="48"/>
        </w:rPr>
      </w:pPr>
    </w:p>
    <w:p w:rsidR="00D35DEA" w:rsidRDefault="00D35DEA" w:rsidP="00D35DEA">
      <w:pPr>
        <w:rPr>
          <w:sz w:val="48"/>
          <w:szCs w:val="48"/>
        </w:rPr>
      </w:pPr>
    </w:p>
    <w:p w:rsidR="00D35DEA" w:rsidRDefault="00D35DEA" w:rsidP="00D35DEA">
      <w:pPr>
        <w:rPr>
          <w:sz w:val="48"/>
          <w:szCs w:val="48"/>
        </w:rPr>
      </w:pPr>
    </w:p>
    <w:p w:rsidR="00D35DEA" w:rsidRDefault="00D35DEA" w:rsidP="00D35DEA">
      <w:pPr>
        <w:rPr>
          <w:sz w:val="48"/>
          <w:szCs w:val="48"/>
        </w:rPr>
      </w:pPr>
    </w:p>
    <w:p w:rsidR="00D35DEA" w:rsidRDefault="00D35DEA" w:rsidP="00D35DEA">
      <w:pPr>
        <w:rPr>
          <w:sz w:val="48"/>
          <w:szCs w:val="48"/>
        </w:rPr>
      </w:pPr>
    </w:p>
    <w:p w:rsidR="00D35DEA" w:rsidRDefault="00D35DEA" w:rsidP="00D35DEA">
      <w:pPr>
        <w:rPr>
          <w:sz w:val="48"/>
          <w:szCs w:val="48"/>
        </w:rPr>
      </w:pPr>
    </w:p>
    <w:p w:rsidR="00D35DEA" w:rsidRDefault="00D35DEA" w:rsidP="00D35DEA">
      <w:pPr>
        <w:rPr>
          <w:sz w:val="48"/>
          <w:szCs w:val="48"/>
        </w:rPr>
      </w:pPr>
    </w:p>
    <w:p w:rsidR="00D35DEA" w:rsidRDefault="00D35DEA" w:rsidP="00D35DEA">
      <w:pPr>
        <w:rPr>
          <w:sz w:val="48"/>
          <w:szCs w:val="48"/>
        </w:rPr>
      </w:pPr>
    </w:p>
    <w:p w:rsidR="00D35DEA" w:rsidRDefault="00D35DEA" w:rsidP="00D35DEA">
      <w:pPr>
        <w:rPr>
          <w:sz w:val="48"/>
          <w:szCs w:val="48"/>
        </w:rPr>
      </w:pPr>
      <w:r>
        <w:rPr>
          <w:sz w:val="48"/>
          <w:szCs w:val="48"/>
        </w:rPr>
        <w:t>EXPERIMENTO</w:t>
      </w:r>
      <w:r w:rsidR="00311FA7">
        <w:rPr>
          <w:sz w:val="48"/>
          <w:szCs w:val="48"/>
        </w:rPr>
        <w:t>S</w:t>
      </w:r>
      <w:r>
        <w:rPr>
          <w:sz w:val="48"/>
          <w:szCs w:val="48"/>
        </w:rPr>
        <w:t xml:space="preserve"> DE </w:t>
      </w:r>
      <w:r w:rsidR="00311FA7">
        <w:rPr>
          <w:sz w:val="48"/>
          <w:szCs w:val="48"/>
        </w:rPr>
        <w:t>FISIOLOGÍA DEL ESTRÉS EN VEGETALES</w:t>
      </w:r>
    </w:p>
    <w:p w:rsidR="00D35DEA" w:rsidRDefault="00D35DEA" w:rsidP="00D35DEA">
      <w:pPr>
        <w:rPr>
          <w:sz w:val="48"/>
          <w:szCs w:val="48"/>
        </w:rPr>
      </w:pPr>
      <w:r>
        <w:rPr>
          <w:sz w:val="48"/>
          <w:szCs w:val="48"/>
        </w:rPr>
        <w:t>Molinari Novoa, Eduardo Antonio</w:t>
      </w:r>
    </w:p>
    <w:p w:rsidR="00311FA7" w:rsidRDefault="00D35DEA" w:rsidP="00311FA7">
      <w:pPr>
        <w:rPr>
          <w:sz w:val="48"/>
          <w:szCs w:val="48"/>
        </w:rPr>
      </w:pPr>
      <w:r>
        <w:rPr>
          <w:sz w:val="48"/>
          <w:szCs w:val="48"/>
        </w:rPr>
        <w:t>20090095</w:t>
      </w:r>
    </w:p>
    <w:p w:rsidR="00031F01" w:rsidRDefault="00311FA7" w:rsidP="00957D52">
      <w:pPr>
        <w:jc w:val="center"/>
        <w:rPr>
          <w:sz w:val="48"/>
          <w:szCs w:val="48"/>
        </w:rPr>
      </w:pPr>
      <w:r>
        <w:rPr>
          <w:sz w:val="48"/>
          <w:szCs w:val="48"/>
        </w:rPr>
        <w:br w:type="page"/>
      </w:r>
      <w:r w:rsidR="00031F01">
        <w:rPr>
          <w:sz w:val="48"/>
          <w:szCs w:val="48"/>
        </w:rPr>
        <w:lastRenderedPageBreak/>
        <w:t>QUÉ ES EL ESTRÉS:</w:t>
      </w:r>
    </w:p>
    <w:p w:rsidR="009F4683" w:rsidRPr="00311FA7" w:rsidRDefault="00031F01" w:rsidP="00957D52">
      <w:pPr>
        <w:jc w:val="center"/>
        <w:rPr>
          <w:sz w:val="48"/>
          <w:szCs w:val="48"/>
        </w:rPr>
      </w:pPr>
      <w:r w:rsidRPr="00031F01">
        <w:rPr>
          <w:noProof/>
          <w:szCs w:val="48"/>
        </w:rPr>
        <w:pict>
          <v:shapetype id="_x0000_t202" coordsize="21600,21600" o:spt="202" path="m,l,21600r21600,l21600,xe">
            <v:stroke joinstyle="miter"/>
            <v:path gradientshapeok="t" o:connecttype="rect"/>
          </v:shapetype>
          <v:shape id="_x0000_s1032" type="#_x0000_t202" style="position:absolute;left:0;text-align:left;margin-left:0;margin-top:0;width:152.75pt;height:340.45pt;z-index:251666432;mso-width-percent:350;mso-position-horizontal:center;mso-position-horizontal-relative:page;mso-position-vertical:center;mso-position-vertical-relative:page;mso-width-percent:350;mso-width-relative:margin;v-text-anchor:middle" o:allowincell="f" filled="f" strokecolor="#622423 [1605]" strokeweight="6pt">
            <v:stroke linestyle="thickThin"/>
            <v:textbox style="mso-next-textbox:#_x0000_s1032;mso-fit-shape-to-text:t" inset="10.8pt,7.2pt,10.8pt,7.2pt">
              <w:txbxContent>
                <w:p w:rsidR="003C71AD" w:rsidRPr="00031F01" w:rsidRDefault="003C71AD" w:rsidP="00031F01">
                  <w:pPr>
                    <w:autoSpaceDE w:val="0"/>
                    <w:autoSpaceDN w:val="0"/>
                    <w:adjustRightInd w:val="0"/>
                    <w:spacing w:after="0" w:line="240" w:lineRule="auto"/>
                    <w:jc w:val="both"/>
                    <w:rPr>
                      <w:rFonts w:ascii="Times New Roman" w:hAnsi="Times New Roman" w:cs="Times New Roman"/>
                      <w:sz w:val="24"/>
                      <w:szCs w:val="23"/>
                      <w:lang w:val="es-PE"/>
                    </w:rPr>
                  </w:pPr>
                  <w:r w:rsidRPr="00031F01">
                    <w:rPr>
                      <w:rFonts w:ascii="Times New Roman" w:hAnsi="Times New Roman" w:cs="Times New Roman"/>
                      <w:sz w:val="24"/>
                      <w:szCs w:val="23"/>
                      <w:lang w:val="es-PE"/>
                    </w:rPr>
                    <w:t>El estrés se identifica como una desviación significativa de las condiciones óptimas para la vida. Dichas condiciones ocasionan cambios en todo los niveles funcionales de los organismos. Desde un punto de vista biológico, el estrés tiene una connotación más amplia, refiriéndose a los cambios ambientales que alteran al estado fisiológico de las plantas (</w:t>
                  </w:r>
                  <w:proofErr w:type="spellStart"/>
                  <w:r w:rsidRPr="00031F01">
                    <w:rPr>
                      <w:rFonts w:ascii="Times New Roman" w:hAnsi="Times New Roman" w:cs="Times New Roman"/>
                      <w:sz w:val="24"/>
                      <w:szCs w:val="23"/>
                      <w:lang w:val="es-PE"/>
                    </w:rPr>
                    <w:t>Larcher</w:t>
                  </w:r>
                  <w:proofErr w:type="spellEnd"/>
                  <w:r w:rsidRPr="00031F01">
                    <w:rPr>
                      <w:rFonts w:ascii="Times New Roman" w:hAnsi="Times New Roman" w:cs="Times New Roman"/>
                      <w:sz w:val="24"/>
                      <w:szCs w:val="23"/>
                      <w:lang w:val="es-PE"/>
                    </w:rPr>
                    <w:t>, 1995).</w:t>
                  </w:r>
                </w:p>
                <w:p w:rsidR="003C71AD" w:rsidRPr="00031F01" w:rsidRDefault="003C71AD" w:rsidP="00031F01">
                  <w:pPr>
                    <w:autoSpaceDE w:val="0"/>
                    <w:autoSpaceDN w:val="0"/>
                    <w:adjustRightInd w:val="0"/>
                    <w:spacing w:after="0" w:line="240" w:lineRule="auto"/>
                    <w:jc w:val="both"/>
                    <w:rPr>
                      <w:rFonts w:ascii="Times New Roman" w:hAnsi="Times New Roman" w:cs="Times New Roman"/>
                      <w:sz w:val="24"/>
                      <w:szCs w:val="23"/>
                      <w:lang w:val="es-PE"/>
                    </w:rPr>
                  </w:pPr>
                  <w:r w:rsidRPr="00031F01">
                    <w:rPr>
                      <w:rFonts w:ascii="Times New Roman" w:hAnsi="Times New Roman" w:cs="Times New Roman"/>
                      <w:sz w:val="24"/>
                      <w:szCs w:val="23"/>
                      <w:lang w:val="es-PE"/>
                    </w:rPr>
                    <w:t>El estrés es el conjunto de respuestas bioquímicas o fisiológicas que definen un estado particular del organismo diferente al observado bajo un rango de condiciones óptimas.</w:t>
                  </w:r>
                </w:p>
                <w:p w:rsidR="003C71AD" w:rsidRPr="00031F01" w:rsidRDefault="003C71AD" w:rsidP="00031F01">
                  <w:pPr>
                    <w:autoSpaceDE w:val="0"/>
                    <w:autoSpaceDN w:val="0"/>
                    <w:adjustRightInd w:val="0"/>
                    <w:spacing w:after="0" w:line="240" w:lineRule="auto"/>
                    <w:rPr>
                      <w:rFonts w:asciiTheme="majorHAnsi" w:eastAsiaTheme="majorEastAsia" w:hAnsiTheme="majorHAnsi" w:cstheme="majorBidi"/>
                      <w:i/>
                      <w:iCs/>
                      <w:sz w:val="28"/>
                      <w:szCs w:val="28"/>
                      <w:lang w:val="es-PE"/>
                    </w:rPr>
                  </w:pPr>
                  <w:r>
                    <w:rPr>
                      <w:rFonts w:asciiTheme="majorHAnsi" w:eastAsiaTheme="majorEastAsia" w:hAnsiTheme="majorHAnsi" w:cstheme="majorBidi"/>
                      <w:i/>
                      <w:iCs/>
                      <w:sz w:val="28"/>
                      <w:szCs w:val="28"/>
                      <w:lang w:val="es-PE"/>
                    </w:rPr>
                    <w:t xml:space="preserve">(Basurto </w:t>
                  </w:r>
                  <w:proofErr w:type="spellStart"/>
                  <w:r>
                    <w:rPr>
                      <w:rFonts w:asciiTheme="majorHAnsi" w:eastAsiaTheme="majorEastAsia" w:hAnsiTheme="majorHAnsi" w:cstheme="majorBidi"/>
                      <w:i/>
                      <w:iCs/>
                      <w:sz w:val="28"/>
                      <w:szCs w:val="28"/>
                      <w:lang w:val="es-PE"/>
                    </w:rPr>
                    <w:t>Sotelo</w:t>
                  </w:r>
                  <w:proofErr w:type="spellEnd"/>
                  <w:r>
                    <w:rPr>
                      <w:rFonts w:asciiTheme="majorHAnsi" w:eastAsiaTheme="majorEastAsia" w:hAnsiTheme="majorHAnsi" w:cstheme="majorBidi"/>
                      <w:i/>
                      <w:iCs/>
                      <w:sz w:val="28"/>
                      <w:szCs w:val="28"/>
                      <w:lang w:val="es-PE"/>
                    </w:rPr>
                    <w:t xml:space="preserve"> et al., 2008)</w:t>
                  </w:r>
                </w:p>
              </w:txbxContent>
            </v:textbox>
            <w10:wrap type="square" anchorx="page" anchory="page"/>
          </v:shape>
        </w:pict>
      </w:r>
      <w:r>
        <w:rPr>
          <w:sz w:val="48"/>
          <w:szCs w:val="48"/>
        </w:rPr>
        <w:br w:type="column"/>
      </w:r>
      <w:r w:rsidR="009F4683" w:rsidRPr="00F22575">
        <w:rPr>
          <w:b/>
          <w:sz w:val="28"/>
          <w:u w:val="single"/>
        </w:rPr>
        <w:lastRenderedPageBreak/>
        <w:t xml:space="preserve">Experimento 1: </w:t>
      </w:r>
      <w:r w:rsidR="0012621C">
        <w:rPr>
          <w:b/>
          <w:sz w:val="28"/>
          <w:u w:val="single"/>
        </w:rPr>
        <w:t>Efectos del e</w:t>
      </w:r>
      <w:r w:rsidR="009F4683" w:rsidRPr="00F22575">
        <w:rPr>
          <w:b/>
          <w:sz w:val="28"/>
          <w:u w:val="single"/>
        </w:rPr>
        <w:t>strés salino</w:t>
      </w:r>
      <w:r w:rsidR="0012621C">
        <w:rPr>
          <w:b/>
          <w:sz w:val="28"/>
          <w:u w:val="single"/>
        </w:rPr>
        <w:t xml:space="preserve"> en plantas</w:t>
      </w:r>
    </w:p>
    <w:p w:rsidR="00F22575" w:rsidRPr="00F22575" w:rsidRDefault="00F22575" w:rsidP="00F22575">
      <w:pPr>
        <w:rPr>
          <w:b/>
        </w:rPr>
      </w:pPr>
      <w:r>
        <w:rPr>
          <w:b/>
        </w:rPr>
        <w:t>1. Introducción</w:t>
      </w:r>
    </w:p>
    <w:p w:rsidR="009F4683" w:rsidRPr="00D81A3E" w:rsidRDefault="009F4683" w:rsidP="0004015B">
      <w:pPr>
        <w:jc w:val="both"/>
      </w:pPr>
      <w:r>
        <w:t>Se comparará la respuesta de dos especies</w:t>
      </w:r>
      <w:r w:rsidR="0004015B">
        <w:t xml:space="preserve"> de la misma familia botánica</w:t>
      </w:r>
      <w:r>
        <w:t xml:space="preserve"> al estrés salino: una que realiza ajuste osmótico, </w:t>
      </w:r>
      <w:r>
        <w:rPr>
          <w:i/>
        </w:rPr>
        <w:t>Beta vulgaris</w:t>
      </w:r>
      <w:r w:rsidR="0004015B">
        <w:t xml:space="preserve"> L. </w:t>
      </w:r>
      <w:r w:rsidR="00315158">
        <w:t xml:space="preserve">“betarraga” </w:t>
      </w:r>
      <w:r w:rsidR="0004015B">
        <w:t xml:space="preserve">(Betoideae: Amaranthaceae: Caryophyllales); y otra que no, </w:t>
      </w:r>
      <w:r w:rsidR="0004015B">
        <w:rPr>
          <w:i/>
        </w:rPr>
        <w:t>Spinacia oleracea</w:t>
      </w:r>
      <w:r w:rsidR="0004015B">
        <w:t xml:space="preserve"> L. </w:t>
      </w:r>
      <w:r w:rsidR="00315158">
        <w:t xml:space="preserve">“espinaca” </w:t>
      </w:r>
      <w:r w:rsidR="0004015B">
        <w:t>(Chenopodioideae:</w:t>
      </w:r>
      <w:r w:rsidR="00315158">
        <w:t xml:space="preserve"> Amaranthaceae: Caryophyllales)</w:t>
      </w:r>
      <w:r w:rsidR="0004015B">
        <w:t>.</w:t>
      </w:r>
      <w:r w:rsidR="00F22575">
        <w:t xml:space="preserve"> </w:t>
      </w:r>
      <w:r w:rsidR="00D35DEA">
        <w:t>Para este fin se someterán los sujetos experimentales a diferentes salinidades durante el tiempo necesario para observar los efectos. Cada tratamiento tendrá tres repeticiones sobre cada especie: se considerará un grupo control y dos grupos experimentales.</w:t>
      </w:r>
      <w:r w:rsidR="00173A62">
        <w:t xml:space="preserve"> Al final del experimento, se analizará cuantitativamente el tamaño de la planta, sus pesos fresco y seco, la presencia de clorofilas</w:t>
      </w:r>
      <w:r w:rsidR="00C978BF">
        <w:t xml:space="preserve"> (A y B) y la concentración de nitrato </w:t>
      </w:r>
      <w:proofErr w:type="spellStart"/>
      <w:r w:rsidR="00C978BF">
        <w:t>reductasas</w:t>
      </w:r>
      <w:proofErr w:type="spellEnd"/>
      <w:r w:rsidR="00C978BF">
        <w:t xml:space="preserve"> </w:t>
      </w:r>
      <w:r w:rsidR="00173A62">
        <w:t xml:space="preserve">en </w:t>
      </w:r>
      <w:r w:rsidR="00D81A3E">
        <w:t>cada</w:t>
      </w:r>
      <w:r w:rsidR="00173A62">
        <w:t xml:space="preserve"> individuo</w:t>
      </w:r>
      <w:r w:rsidR="00C764CF">
        <w:t>. Se escogió</w:t>
      </w:r>
      <w:r w:rsidR="00D81A3E">
        <w:t xml:space="preserve"> dichas especies debido al conocimiento de la ausencia de ajuste osmótico importante y ampliamente efectivo en </w:t>
      </w:r>
      <w:r w:rsidR="00D81A3E">
        <w:rPr>
          <w:i/>
        </w:rPr>
        <w:t>S. oleracea</w:t>
      </w:r>
      <w:r w:rsidR="00AC03F6">
        <w:t xml:space="preserve">, constatado en numerosas publicaciones científicas recientes (V. Hoyos, Rodríguez, Cárdenas-Hernández y </w:t>
      </w:r>
      <w:proofErr w:type="spellStart"/>
      <w:r w:rsidR="00AC03F6">
        <w:t>Balaguera</w:t>
      </w:r>
      <w:proofErr w:type="spellEnd"/>
      <w:r w:rsidR="00AC03F6">
        <w:t>-López; 2009)</w:t>
      </w:r>
      <w:r w:rsidR="00D81A3E">
        <w:t xml:space="preserve">; y a la reputación avalada por estudios científicos sobre la tolerancia de </w:t>
      </w:r>
      <w:r w:rsidR="00D81A3E">
        <w:rPr>
          <w:i/>
        </w:rPr>
        <w:t>B. vulgaris</w:t>
      </w:r>
      <w:r w:rsidR="00D81A3E">
        <w:t xml:space="preserve"> a la sequía y su aptitud para el ajuste osmótico (</w:t>
      </w:r>
      <w:proofErr w:type="spellStart"/>
      <w:r w:rsidR="00D81A3E" w:rsidRPr="00D81A3E">
        <w:rPr>
          <w:rFonts w:cs="Arial"/>
        </w:rPr>
        <w:t>Katerji</w:t>
      </w:r>
      <w:proofErr w:type="spellEnd"/>
      <w:r w:rsidR="00D81A3E" w:rsidRPr="00D81A3E">
        <w:rPr>
          <w:rFonts w:cs="Arial"/>
        </w:rPr>
        <w:t xml:space="preserve">, van </w:t>
      </w:r>
      <w:proofErr w:type="spellStart"/>
      <w:r w:rsidR="00D81A3E" w:rsidRPr="00D81A3E">
        <w:rPr>
          <w:rFonts w:cs="Arial"/>
        </w:rPr>
        <w:t>Hoorn</w:t>
      </w:r>
      <w:proofErr w:type="spellEnd"/>
      <w:r w:rsidR="00D81A3E" w:rsidRPr="00D81A3E">
        <w:rPr>
          <w:rFonts w:cs="Arial"/>
        </w:rPr>
        <w:t xml:space="preserve">, </w:t>
      </w:r>
      <w:proofErr w:type="spellStart"/>
      <w:r w:rsidR="00D81A3E" w:rsidRPr="00D81A3E">
        <w:rPr>
          <w:rFonts w:cs="Arial"/>
        </w:rPr>
        <w:t>Hamdy</w:t>
      </w:r>
      <w:proofErr w:type="spellEnd"/>
      <w:r w:rsidR="00D81A3E" w:rsidRPr="00D81A3E">
        <w:rPr>
          <w:rFonts w:cs="Arial"/>
        </w:rPr>
        <w:t>,</w:t>
      </w:r>
      <w:r w:rsidR="00D81A3E">
        <w:rPr>
          <w:rFonts w:cs="Arial"/>
        </w:rPr>
        <w:t xml:space="preserve"> </w:t>
      </w:r>
      <w:proofErr w:type="spellStart"/>
      <w:r w:rsidR="00D81A3E" w:rsidRPr="00D81A3E">
        <w:rPr>
          <w:rFonts w:cs="Arial"/>
        </w:rPr>
        <w:t>Mastrorilli</w:t>
      </w:r>
      <w:proofErr w:type="spellEnd"/>
      <w:r w:rsidR="00D81A3E" w:rsidRPr="00D81A3E">
        <w:rPr>
          <w:rFonts w:cs="Arial"/>
        </w:rPr>
        <w:t xml:space="preserve">, </w:t>
      </w:r>
      <w:r w:rsidR="00D81A3E">
        <w:rPr>
          <w:rFonts w:cs="Arial"/>
        </w:rPr>
        <w:t>y</w:t>
      </w:r>
      <w:r w:rsidR="00D81A3E" w:rsidRPr="00D81A3E">
        <w:rPr>
          <w:rFonts w:cs="Arial"/>
        </w:rPr>
        <w:t xml:space="preserve"> </w:t>
      </w:r>
      <w:proofErr w:type="spellStart"/>
      <w:r w:rsidR="00D81A3E" w:rsidRPr="00D81A3E">
        <w:rPr>
          <w:rFonts w:cs="Arial"/>
        </w:rPr>
        <w:t>Mou</w:t>
      </w:r>
      <w:proofErr w:type="spellEnd"/>
      <w:r w:rsidR="00D81A3E" w:rsidRPr="00D81A3E">
        <w:rPr>
          <w:rFonts w:cs="Arial"/>
        </w:rPr>
        <w:t xml:space="preserve"> </w:t>
      </w:r>
      <w:proofErr w:type="spellStart"/>
      <w:r w:rsidR="00D81A3E" w:rsidRPr="00D81A3E">
        <w:rPr>
          <w:rFonts w:cs="Arial"/>
        </w:rPr>
        <w:t>Karzel</w:t>
      </w:r>
      <w:proofErr w:type="spellEnd"/>
      <w:r w:rsidR="00AC03F6">
        <w:rPr>
          <w:rFonts w:cs="Arial"/>
        </w:rPr>
        <w:t>;</w:t>
      </w:r>
      <w:r w:rsidR="00D81A3E">
        <w:rPr>
          <w:rFonts w:cs="Arial"/>
        </w:rPr>
        <w:t xml:space="preserve"> 1997).</w:t>
      </w:r>
      <w:r w:rsidR="00AC03F6">
        <w:rPr>
          <w:rFonts w:cs="Arial"/>
        </w:rPr>
        <w:t xml:space="preserve"> La medición de la salinidad se hará a través de la medición de la conductividad eléctrica, expresada en </w:t>
      </w:r>
      <w:proofErr w:type="spellStart"/>
      <w:r w:rsidR="0079313B">
        <w:rPr>
          <w:rFonts w:cs="Arial"/>
        </w:rPr>
        <w:t>deci</w:t>
      </w:r>
      <w:r w:rsidR="00AC03F6">
        <w:rPr>
          <w:rFonts w:cs="Arial"/>
        </w:rPr>
        <w:t>siemens</w:t>
      </w:r>
      <w:proofErr w:type="spellEnd"/>
      <w:r w:rsidR="00AC03F6">
        <w:rPr>
          <w:rFonts w:cs="Arial"/>
        </w:rPr>
        <w:t xml:space="preserve"> por metro.</w:t>
      </w:r>
    </w:p>
    <w:p w:rsidR="00F22575" w:rsidRDefault="00F22575" w:rsidP="0004015B">
      <w:pPr>
        <w:jc w:val="both"/>
        <w:rPr>
          <w:b/>
        </w:rPr>
      </w:pPr>
      <w:r>
        <w:rPr>
          <w:b/>
        </w:rPr>
        <w:t>2. Procedimiento Experimental</w:t>
      </w:r>
    </w:p>
    <w:p w:rsidR="00F22575" w:rsidRDefault="00173A62" w:rsidP="0004015B">
      <w:pPr>
        <w:jc w:val="both"/>
      </w:pPr>
      <w:r>
        <w:rPr>
          <w:i/>
        </w:rPr>
        <w:t>Instalación</w:t>
      </w:r>
      <w:r w:rsidR="00F22575" w:rsidRPr="00D35DEA">
        <w:rPr>
          <w:i/>
        </w:rPr>
        <w:t xml:space="preserve"> del experimento</w:t>
      </w:r>
      <w:r w:rsidR="00C764CF">
        <w:t>: Se tomó</w:t>
      </w:r>
      <w:r w:rsidR="00F22575">
        <w:t xml:space="preserve"> </w:t>
      </w:r>
      <w:r w:rsidR="00791054">
        <w:t xml:space="preserve">dieciocho </w:t>
      </w:r>
      <w:r w:rsidR="00F22575">
        <w:t>m</w:t>
      </w:r>
      <w:r w:rsidR="00D35DEA">
        <w:t>acetas de “</w:t>
      </w:r>
      <w:proofErr w:type="spellStart"/>
      <w:r w:rsidR="00D35DEA">
        <w:t>tecnopor</w:t>
      </w:r>
      <w:proofErr w:type="spellEnd"/>
      <w:r w:rsidR="00D35DEA">
        <w:t>” (</w:t>
      </w:r>
      <w:proofErr w:type="spellStart"/>
      <w:r w:rsidR="00D35DEA">
        <w:t>poliestireno</w:t>
      </w:r>
      <w:proofErr w:type="spellEnd"/>
      <w:r w:rsidR="00D35DEA">
        <w:t xml:space="preserve"> expansible, EPS por sus siglas e</w:t>
      </w:r>
      <w:r w:rsidR="00C764CF">
        <w:t>n inglés), las cuales se rellenó</w:t>
      </w:r>
      <w:r w:rsidR="00D35DEA">
        <w:t xml:space="preserve"> con arena de río lavada previamente, eliminando así la posibilidad de que interfiera con el experimento. Así, se constituye el sustrato neutro sobre el cual</w:t>
      </w:r>
      <w:r w:rsidR="00791054">
        <w:t xml:space="preserve"> se sembrarán las plantas. En estas macetas, se </w:t>
      </w:r>
      <w:r w:rsidR="00C764CF">
        <w:t>sembró</w:t>
      </w:r>
      <w:r w:rsidR="00791054">
        <w:t xml:space="preserve"> dos semillas de una especie, para asegurar la germinación de, al menos, una semilla por maceta. Así, se </w:t>
      </w:r>
      <w:r w:rsidR="00C764CF">
        <w:t>trabajó con</w:t>
      </w:r>
      <w:r w:rsidR="00791054">
        <w:t xml:space="preserve"> nueve macetas con sustrato de arena de río con individuos de </w:t>
      </w:r>
      <w:r w:rsidR="00791054">
        <w:rPr>
          <w:i/>
        </w:rPr>
        <w:t>B. vulgaris</w:t>
      </w:r>
      <w:r w:rsidR="00791054">
        <w:t xml:space="preserve"> y otras nueve con individuos de </w:t>
      </w:r>
      <w:r w:rsidR="00791054">
        <w:rPr>
          <w:i/>
        </w:rPr>
        <w:t>S. oleracea</w:t>
      </w:r>
      <w:r w:rsidR="00791054">
        <w:t xml:space="preserve">. Se </w:t>
      </w:r>
      <w:r w:rsidR="00C764CF">
        <w:t>regó</w:t>
      </w:r>
      <w:r w:rsidR="00791054">
        <w:t xml:space="preserve"> diariamente con agua de pozo hasta lograr la germinación. Al cabo de este periodo, se </w:t>
      </w:r>
      <w:r w:rsidR="00C764CF">
        <w:t>procedió</w:t>
      </w:r>
      <w:r w:rsidR="00791054">
        <w:t xml:space="preserve"> a regar la plántula con media dosis de solución nutritiva (se usará la solución nutritiva La </w:t>
      </w:r>
      <w:r w:rsidR="00791054" w:rsidRPr="0038049A">
        <w:t>Molina</w:t>
      </w:r>
      <w:r w:rsidR="008D2BCF" w:rsidRPr="0038049A">
        <w:rPr>
          <w:bCs/>
          <w:spacing w:val="-2"/>
        </w:rPr>
        <w:t>®</w:t>
      </w:r>
      <w:r w:rsidR="00791054" w:rsidRPr="0038049A">
        <w:t xml:space="preserve">): 2,5 </w:t>
      </w:r>
      <w:proofErr w:type="spellStart"/>
      <w:r w:rsidR="00791054" w:rsidRPr="0038049A">
        <w:t>mL</w:t>
      </w:r>
      <w:proofErr w:type="spellEnd"/>
      <w:r w:rsidR="00791054" w:rsidRPr="0038049A">
        <w:t xml:space="preserve"> de </w:t>
      </w:r>
      <w:r w:rsidRPr="0038049A">
        <w:t>Solución A La Molina</w:t>
      </w:r>
      <w:r w:rsidR="008D2BCF" w:rsidRPr="0038049A">
        <w:rPr>
          <w:bCs/>
          <w:spacing w:val="-2"/>
        </w:rPr>
        <w:t>®</w:t>
      </w:r>
      <w:r w:rsidRPr="0038049A">
        <w:t xml:space="preserve"> y 1 </w:t>
      </w:r>
      <w:proofErr w:type="spellStart"/>
      <w:r w:rsidRPr="0038049A">
        <w:t>mL</w:t>
      </w:r>
      <w:proofErr w:type="spellEnd"/>
      <w:r w:rsidRPr="0038049A">
        <w:t xml:space="preserve"> de Solución B La Molina</w:t>
      </w:r>
      <w:r w:rsidR="008D2BCF" w:rsidRPr="0038049A">
        <w:rPr>
          <w:bCs/>
          <w:spacing w:val="-2"/>
        </w:rPr>
        <w:t>®</w:t>
      </w:r>
      <w:r w:rsidRPr="0038049A">
        <w:t xml:space="preserve"> completando con agua de pozo un litro de </w:t>
      </w:r>
      <w:r w:rsidR="00C764CF">
        <w:t xml:space="preserve">solución. Este segundo riego fue prolongado </w:t>
      </w:r>
      <w:r w:rsidRPr="0038049A">
        <w:t xml:space="preserve">por una semana, periodo tras el cual se </w:t>
      </w:r>
      <w:r w:rsidR="00C764CF">
        <w:t>procedió</w:t>
      </w:r>
      <w:r w:rsidRPr="0038049A">
        <w:t xml:space="preserve"> a regar con una solución a dosis completa: 5 </w:t>
      </w:r>
      <w:proofErr w:type="spellStart"/>
      <w:r w:rsidRPr="0038049A">
        <w:t>mL</w:t>
      </w:r>
      <w:proofErr w:type="spellEnd"/>
      <w:r w:rsidRPr="0038049A">
        <w:t xml:space="preserve"> de Solución A y 2 </w:t>
      </w:r>
      <w:proofErr w:type="spellStart"/>
      <w:r w:rsidRPr="0038049A">
        <w:t>mL</w:t>
      </w:r>
      <w:proofErr w:type="spellEnd"/>
      <w:r w:rsidRPr="0038049A">
        <w:t xml:space="preserve"> de Solución B La Molina</w:t>
      </w:r>
      <w:r w:rsidR="008D2BCF" w:rsidRPr="0038049A">
        <w:rPr>
          <w:bCs/>
          <w:spacing w:val="-2"/>
        </w:rPr>
        <w:t>®</w:t>
      </w:r>
      <w:r w:rsidRPr="0038049A">
        <w:t xml:space="preserve"> completando con agua los 1000 m</w:t>
      </w:r>
      <w:r w:rsidR="00EB1862">
        <w:t xml:space="preserve">l, según </w:t>
      </w:r>
      <w:r w:rsidR="00DB1ECE">
        <w:t xml:space="preserve">las </w:t>
      </w:r>
      <w:r w:rsidR="00EB1862">
        <w:t>especificaciones de uso</w:t>
      </w:r>
      <w:r w:rsidRPr="0038049A">
        <w:t xml:space="preserve">. Este tercer riego </w:t>
      </w:r>
      <w:r w:rsidR="00DB1ECE">
        <w:t>duró</w:t>
      </w:r>
      <w:r w:rsidRPr="0038049A">
        <w:t xml:space="preserve"> dos semanas, al cabo de las cuales</w:t>
      </w:r>
      <w:r>
        <w:t xml:space="preserve"> se </w:t>
      </w:r>
      <w:r w:rsidR="00DB1ECE">
        <w:t>tuvo</w:t>
      </w:r>
      <w:r>
        <w:t xml:space="preserve"> las plantas listas para ser sometidas a los tratamientos experimentales.</w:t>
      </w:r>
      <w:r w:rsidR="008D2BCF">
        <w:t xml:space="preserve"> Este experimento se </w:t>
      </w:r>
      <w:r w:rsidR="00DB1ECE">
        <w:t>llevó</w:t>
      </w:r>
      <w:r w:rsidR="008D2BCF">
        <w:t xml:space="preserve"> a cabo en el módulo hidropónico del Centro de Investigación de Hidroponía y Nutrición Mineral de la Fundación para el Desarrollo Agrario, en la Universidad Nacional Agraria La Molina.</w:t>
      </w:r>
      <w:r w:rsidR="005B6D42">
        <w:t xml:space="preserve"> Esta programación fue hecha en el aula de clase (Laboratorio de Fisiología Vegetal B-4), de manera teórica, el miércoles 31 de agosto de 2011, por el profesor del curso.</w:t>
      </w:r>
    </w:p>
    <w:p w:rsidR="00AC03F6" w:rsidRDefault="00791054" w:rsidP="0004015B">
      <w:pPr>
        <w:jc w:val="both"/>
      </w:pPr>
      <w:r>
        <w:rPr>
          <w:i/>
        </w:rPr>
        <w:t>Tratamientos experimentales</w:t>
      </w:r>
      <w:r>
        <w:t xml:space="preserve">: sobre cada grupo de macetas se </w:t>
      </w:r>
      <w:r w:rsidR="00DB1ECE">
        <w:t>aplicó</w:t>
      </w:r>
      <w:r>
        <w:t xml:space="preserve"> tres tratamientos: un trata</w:t>
      </w:r>
      <w:r w:rsidR="00173A62">
        <w:t xml:space="preserve">miento control, que </w:t>
      </w:r>
      <w:r w:rsidR="00DB1ECE">
        <w:t>fue</w:t>
      </w:r>
      <w:r w:rsidR="00173A62">
        <w:t xml:space="preserve"> regado con solución</w:t>
      </w:r>
      <w:r w:rsidR="008D2BCF">
        <w:t xml:space="preserve"> nutritiva</w:t>
      </w:r>
      <w:r w:rsidR="00173A62">
        <w:t xml:space="preserve"> de dosis</w:t>
      </w:r>
      <w:r w:rsidR="008D2BCF">
        <w:t xml:space="preserve"> completa, mientras que </w:t>
      </w:r>
      <w:r w:rsidR="00AC03F6">
        <w:t xml:space="preserve">los otros dos </w:t>
      </w:r>
      <w:r w:rsidR="00DB1ECE">
        <w:t>fueron</w:t>
      </w:r>
      <w:r w:rsidR="00AC03F6">
        <w:t xml:space="preserve"> tratados con solución nutritiva más cloruro de sodio (</w:t>
      </w:r>
      <w:proofErr w:type="spellStart"/>
      <w:r w:rsidR="00AC03F6">
        <w:t>NaCl</w:t>
      </w:r>
      <w:proofErr w:type="spellEnd"/>
      <w:r w:rsidR="00AC03F6">
        <w:t xml:space="preserve">), el cual </w:t>
      </w:r>
      <w:r w:rsidR="00DB1ECE">
        <w:t xml:space="preserve">se </w:t>
      </w:r>
      <w:r w:rsidR="00AC03F6">
        <w:t>us</w:t>
      </w:r>
      <w:r w:rsidR="00DB1ECE">
        <w:t>ó</w:t>
      </w:r>
      <w:r w:rsidR="00AC03F6">
        <w:t xml:space="preserve"> para aumentar la conductividad eléctrica de la solución de riego hasta 3 y 3,5 </w:t>
      </w:r>
      <w:r w:rsidR="0012621C">
        <w:t>dS/m</w:t>
      </w:r>
      <w:r w:rsidR="00DB1ECE">
        <w:t xml:space="preserve">, </w:t>
      </w:r>
      <w:r w:rsidR="00DB1ECE">
        <w:lastRenderedPageBreak/>
        <w:t>respectivamente</w:t>
      </w:r>
      <w:r w:rsidR="00AC03F6">
        <w:t xml:space="preserve"> para cada tratamiento. Esta se </w:t>
      </w:r>
      <w:r w:rsidR="00DB1ECE">
        <w:t>determinó</w:t>
      </w:r>
      <w:r w:rsidR="00AC03F6">
        <w:t xml:space="preserve"> de manera directa gracias a un </w:t>
      </w:r>
      <w:proofErr w:type="spellStart"/>
      <w:r w:rsidR="00AC03F6">
        <w:t>multímetro</w:t>
      </w:r>
      <w:proofErr w:type="spellEnd"/>
      <w:r w:rsidR="00AC03F6">
        <w:t>.</w:t>
      </w:r>
      <w:r w:rsidR="003F2596">
        <w:t xml:space="preserve"> </w:t>
      </w:r>
      <w:r w:rsidR="00AC03F6">
        <w:t>De esta manera</w:t>
      </w:r>
      <w:r w:rsidR="00DB1ECE">
        <w:t>,</w:t>
      </w:r>
      <w:r w:rsidR="00AC03F6">
        <w:t xml:space="preserve"> se </w:t>
      </w:r>
      <w:r w:rsidR="00DB1ECE">
        <w:t>obtuvo</w:t>
      </w:r>
      <w:r w:rsidR="00AC03F6">
        <w:t xml:space="preserve"> seis bloques con tres repeticiones cada uno, donde se evaluará sobre cada especie los tres tratamientos experimentales. Se puede mostrar esto de manera esquemática a tr</w:t>
      </w:r>
      <w:r w:rsidR="00C57F8B">
        <w:t>avés de un croquis experimental:</w:t>
      </w:r>
    </w:p>
    <w:tbl>
      <w:tblPr>
        <w:tblW w:w="5520" w:type="dxa"/>
        <w:jc w:val="center"/>
        <w:tblInd w:w="55" w:type="dxa"/>
        <w:tblCellMar>
          <w:left w:w="70" w:type="dxa"/>
          <w:right w:w="70" w:type="dxa"/>
        </w:tblCellMar>
        <w:tblLook w:val="04A0"/>
      </w:tblPr>
      <w:tblGrid>
        <w:gridCol w:w="918"/>
        <w:gridCol w:w="1762"/>
        <w:gridCol w:w="1420"/>
        <w:gridCol w:w="1420"/>
      </w:tblGrid>
      <w:tr w:rsidR="00C57F8B" w:rsidRPr="00C57F8B" w:rsidTr="0012621C">
        <w:trPr>
          <w:trHeight w:val="238"/>
          <w:jc w:val="center"/>
        </w:trPr>
        <w:tc>
          <w:tcPr>
            <w:tcW w:w="918" w:type="dxa"/>
            <w:tcBorders>
              <w:top w:val="nil"/>
              <w:left w:val="nil"/>
              <w:bottom w:val="nil"/>
              <w:right w:val="nil"/>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p>
        </w:tc>
        <w:tc>
          <w:tcPr>
            <w:tcW w:w="1762" w:type="dxa"/>
            <w:tcBorders>
              <w:top w:val="nil"/>
              <w:left w:val="nil"/>
              <w:bottom w:val="nil"/>
              <w:right w:val="nil"/>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p>
        </w:tc>
        <w:tc>
          <w:tcPr>
            <w:tcW w:w="2840" w:type="dxa"/>
            <w:gridSpan w:val="2"/>
            <w:tcBorders>
              <w:top w:val="single" w:sz="4" w:space="0" w:color="auto"/>
              <w:left w:val="single" w:sz="4" w:space="0" w:color="auto"/>
              <w:bottom w:val="single" w:sz="4" w:space="0" w:color="auto"/>
              <w:right w:val="single" w:sz="4" w:space="0" w:color="auto"/>
            </w:tcBorders>
            <w:shd w:val="clear" w:color="000000" w:fill="7F7F7F"/>
            <w:noWrap/>
            <w:vAlign w:val="center"/>
            <w:hideMark/>
          </w:tcPr>
          <w:p w:rsidR="00C57F8B" w:rsidRPr="00C57F8B" w:rsidRDefault="00C57F8B" w:rsidP="00C57F8B">
            <w:pPr>
              <w:spacing w:after="0" w:line="240" w:lineRule="auto"/>
              <w:jc w:val="center"/>
              <w:rPr>
                <w:rFonts w:ascii="Calibri" w:eastAsia="Times New Roman" w:hAnsi="Calibri" w:cs="Times New Roman"/>
                <w:b/>
                <w:bCs/>
                <w:color w:val="000000"/>
                <w:sz w:val="28"/>
                <w:szCs w:val="28"/>
                <w:lang w:eastAsia="es-ES"/>
              </w:rPr>
            </w:pPr>
            <w:r w:rsidRPr="00C57F8B">
              <w:rPr>
                <w:rFonts w:ascii="Calibri" w:eastAsia="Times New Roman" w:hAnsi="Calibri" w:cs="Times New Roman"/>
                <w:b/>
                <w:bCs/>
                <w:color w:val="000000"/>
                <w:sz w:val="28"/>
                <w:szCs w:val="28"/>
                <w:lang w:eastAsia="es-ES"/>
              </w:rPr>
              <w:t>Bloque</w:t>
            </w:r>
          </w:p>
        </w:tc>
      </w:tr>
      <w:tr w:rsidR="00C57F8B" w:rsidRPr="00C57F8B" w:rsidTr="0012621C">
        <w:trPr>
          <w:trHeight w:val="70"/>
          <w:jc w:val="center"/>
        </w:trPr>
        <w:tc>
          <w:tcPr>
            <w:tcW w:w="918" w:type="dxa"/>
            <w:tcBorders>
              <w:top w:val="nil"/>
              <w:left w:val="nil"/>
              <w:bottom w:val="nil"/>
              <w:right w:val="nil"/>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p>
        </w:tc>
        <w:tc>
          <w:tcPr>
            <w:tcW w:w="1762" w:type="dxa"/>
            <w:tcBorders>
              <w:top w:val="nil"/>
              <w:left w:val="nil"/>
              <w:bottom w:val="nil"/>
              <w:right w:val="nil"/>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p>
        </w:tc>
        <w:tc>
          <w:tcPr>
            <w:tcW w:w="1420" w:type="dxa"/>
            <w:tcBorders>
              <w:top w:val="nil"/>
              <w:left w:val="single" w:sz="4" w:space="0" w:color="auto"/>
              <w:bottom w:val="single" w:sz="4" w:space="0" w:color="auto"/>
              <w:right w:val="single" w:sz="4" w:space="0" w:color="auto"/>
            </w:tcBorders>
            <w:shd w:val="clear" w:color="000000" w:fill="BFBFBF"/>
            <w:noWrap/>
            <w:vAlign w:val="center"/>
            <w:hideMark/>
          </w:tcPr>
          <w:p w:rsidR="00C57F8B" w:rsidRPr="00C57F8B" w:rsidRDefault="00C57F8B" w:rsidP="00C57F8B">
            <w:pPr>
              <w:spacing w:after="0" w:line="240" w:lineRule="auto"/>
              <w:jc w:val="center"/>
              <w:rPr>
                <w:rFonts w:ascii="Calibri" w:eastAsia="Times New Roman" w:hAnsi="Calibri" w:cs="Times New Roman"/>
                <w:b/>
                <w:bCs/>
                <w:color w:val="000000"/>
                <w:sz w:val="28"/>
                <w:szCs w:val="28"/>
                <w:lang w:eastAsia="es-ES"/>
              </w:rPr>
            </w:pPr>
            <w:r w:rsidRPr="00C57F8B">
              <w:rPr>
                <w:rFonts w:ascii="Calibri" w:eastAsia="Times New Roman" w:hAnsi="Calibri" w:cs="Times New Roman"/>
                <w:b/>
                <w:bCs/>
                <w:color w:val="000000"/>
                <w:sz w:val="28"/>
                <w:szCs w:val="28"/>
                <w:lang w:eastAsia="es-ES"/>
              </w:rPr>
              <w:t>1</w:t>
            </w:r>
          </w:p>
        </w:tc>
        <w:tc>
          <w:tcPr>
            <w:tcW w:w="1420" w:type="dxa"/>
            <w:tcBorders>
              <w:top w:val="nil"/>
              <w:left w:val="nil"/>
              <w:bottom w:val="single" w:sz="4" w:space="0" w:color="auto"/>
              <w:right w:val="single" w:sz="4" w:space="0" w:color="auto"/>
            </w:tcBorders>
            <w:shd w:val="clear" w:color="000000" w:fill="BFBFBF"/>
            <w:noWrap/>
            <w:vAlign w:val="center"/>
            <w:hideMark/>
          </w:tcPr>
          <w:p w:rsidR="00C57F8B" w:rsidRPr="00C57F8B" w:rsidRDefault="00C57F8B" w:rsidP="00C57F8B">
            <w:pPr>
              <w:spacing w:after="0" w:line="240" w:lineRule="auto"/>
              <w:jc w:val="center"/>
              <w:rPr>
                <w:rFonts w:ascii="Calibri" w:eastAsia="Times New Roman" w:hAnsi="Calibri" w:cs="Times New Roman"/>
                <w:b/>
                <w:bCs/>
                <w:color w:val="000000"/>
                <w:sz w:val="28"/>
                <w:szCs w:val="28"/>
                <w:lang w:eastAsia="es-ES"/>
              </w:rPr>
            </w:pPr>
            <w:r w:rsidRPr="00C57F8B">
              <w:rPr>
                <w:rFonts w:ascii="Calibri" w:eastAsia="Times New Roman" w:hAnsi="Calibri" w:cs="Times New Roman"/>
                <w:b/>
                <w:bCs/>
                <w:color w:val="000000"/>
                <w:sz w:val="28"/>
                <w:szCs w:val="28"/>
                <w:lang w:eastAsia="es-ES"/>
              </w:rPr>
              <w:t>2</w:t>
            </w:r>
          </w:p>
        </w:tc>
      </w:tr>
      <w:tr w:rsidR="00C57F8B" w:rsidRPr="00C57F8B" w:rsidTr="005B6D42">
        <w:trPr>
          <w:trHeight w:val="70"/>
          <w:jc w:val="center"/>
        </w:trPr>
        <w:tc>
          <w:tcPr>
            <w:tcW w:w="2680" w:type="dxa"/>
            <w:gridSpan w:val="2"/>
            <w:tcBorders>
              <w:top w:val="single" w:sz="4" w:space="0" w:color="auto"/>
              <w:left w:val="single" w:sz="4" w:space="0" w:color="auto"/>
              <w:bottom w:val="single" w:sz="4" w:space="0" w:color="auto"/>
              <w:right w:val="single" w:sz="4" w:space="0" w:color="auto"/>
            </w:tcBorders>
            <w:shd w:val="clear" w:color="000000" w:fill="7F7F7F"/>
            <w:noWrap/>
            <w:vAlign w:val="center"/>
            <w:hideMark/>
          </w:tcPr>
          <w:p w:rsidR="00C57F8B" w:rsidRPr="00C57F8B" w:rsidRDefault="00C57F8B" w:rsidP="00C57F8B">
            <w:pPr>
              <w:spacing w:after="0" w:line="240" w:lineRule="auto"/>
              <w:jc w:val="center"/>
              <w:rPr>
                <w:rFonts w:ascii="Calibri" w:eastAsia="Times New Roman" w:hAnsi="Calibri" w:cs="Times New Roman"/>
                <w:b/>
                <w:bCs/>
                <w:color w:val="000000"/>
                <w:sz w:val="28"/>
                <w:szCs w:val="28"/>
                <w:lang w:eastAsia="es-ES"/>
              </w:rPr>
            </w:pPr>
            <w:r w:rsidRPr="00C57F8B">
              <w:rPr>
                <w:rFonts w:ascii="Calibri" w:eastAsia="Times New Roman" w:hAnsi="Calibri" w:cs="Times New Roman"/>
                <w:b/>
                <w:bCs/>
                <w:color w:val="000000"/>
                <w:sz w:val="28"/>
                <w:szCs w:val="28"/>
                <w:lang w:eastAsia="es-ES"/>
              </w:rPr>
              <w:t>Tratamiento</w:t>
            </w:r>
          </w:p>
        </w:tc>
        <w:tc>
          <w:tcPr>
            <w:tcW w:w="1420" w:type="dxa"/>
            <w:tcBorders>
              <w:top w:val="nil"/>
              <w:left w:val="nil"/>
              <w:bottom w:val="single" w:sz="4" w:space="0" w:color="auto"/>
              <w:right w:val="single" w:sz="4" w:space="0" w:color="auto"/>
            </w:tcBorders>
            <w:shd w:val="clear" w:color="000000" w:fill="F2F2F2"/>
            <w:noWrap/>
            <w:vAlign w:val="center"/>
            <w:hideMark/>
          </w:tcPr>
          <w:p w:rsidR="00C57F8B" w:rsidRPr="00C57F8B" w:rsidRDefault="00C57F8B" w:rsidP="00C57F8B">
            <w:pPr>
              <w:spacing w:after="0" w:line="240" w:lineRule="auto"/>
              <w:jc w:val="center"/>
              <w:rPr>
                <w:rFonts w:ascii="Calibri" w:eastAsia="Times New Roman" w:hAnsi="Calibri" w:cs="Times New Roman"/>
                <w:b/>
                <w:bCs/>
                <w:i/>
                <w:iCs/>
                <w:color w:val="000000"/>
                <w:lang w:eastAsia="es-ES"/>
              </w:rPr>
            </w:pPr>
            <w:r w:rsidRPr="00C57F8B">
              <w:rPr>
                <w:rFonts w:ascii="Calibri" w:eastAsia="Times New Roman" w:hAnsi="Calibri" w:cs="Times New Roman"/>
                <w:b/>
                <w:bCs/>
                <w:i/>
                <w:iCs/>
                <w:color w:val="000000"/>
                <w:lang w:eastAsia="es-ES"/>
              </w:rPr>
              <w:t>S. oleracea</w:t>
            </w:r>
          </w:p>
        </w:tc>
        <w:tc>
          <w:tcPr>
            <w:tcW w:w="1420" w:type="dxa"/>
            <w:tcBorders>
              <w:top w:val="nil"/>
              <w:left w:val="nil"/>
              <w:bottom w:val="single" w:sz="4" w:space="0" w:color="auto"/>
              <w:right w:val="single" w:sz="4" w:space="0" w:color="auto"/>
            </w:tcBorders>
            <w:shd w:val="clear" w:color="000000" w:fill="F2F2F2"/>
            <w:noWrap/>
            <w:vAlign w:val="center"/>
            <w:hideMark/>
          </w:tcPr>
          <w:p w:rsidR="00C57F8B" w:rsidRPr="00C57F8B" w:rsidRDefault="00C57F8B" w:rsidP="00C57F8B">
            <w:pPr>
              <w:spacing w:after="0" w:line="240" w:lineRule="auto"/>
              <w:jc w:val="center"/>
              <w:rPr>
                <w:rFonts w:ascii="Calibri" w:eastAsia="Times New Roman" w:hAnsi="Calibri" w:cs="Times New Roman"/>
                <w:b/>
                <w:bCs/>
                <w:i/>
                <w:iCs/>
                <w:color w:val="000000"/>
                <w:lang w:eastAsia="es-ES"/>
              </w:rPr>
            </w:pPr>
            <w:r w:rsidRPr="00C57F8B">
              <w:rPr>
                <w:rFonts w:ascii="Calibri" w:eastAsia="Times New Roman" w:hAnsi="Calibri" w:cs="Times New Roman"/>
                <w:b/>
                <w:bCs/>
                <w:i/>
                <w:iCs/>
                <w:color w:val="000000"/>
                <w:lang w:eastAsia="es-ES"/>
              </w:rPr>
              <w:t>B. vulgaris</w:t>
            </w:r>
          </w:p>
        </w:tc>
      </w:tr>
      <w:tr w:rsidR="00C57F8B" w:rsidRPr="00C57F8B" w:rsidTr="0012621C">
        <w:trPr>
          <w:trHeight w:val="182"/>
          <w:jc w:val="center"/>
        </w:trPr>
        <w:tc>
          <w:tcPr>
            <w:tcW w:w="918"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C57F8B" w:rsidRPr="00C57F8B" w:rsidRDefault="00C57F8B" w:rsidP="00C57F8B">
            <w:pPr>
              <w:spacing w:after="0" w:line="240" w:lineRule="auto"/>
              <w:jc w:val="center"/>
              <w:rPr>
                <w:rFonts w:ascii="Calibri" w:eastAsia="Times New Roman" w:hAnsi="Calibri" w:cs="Times New Roman"/>
                <w:b/>
                <w:bCs/>
                <w:color w:val="000000"/>
                <w:sz w:val="28"/>
                <w:szCs w:val="28"/>
                <w:lang w:eastAsia="es-ES"/>
              </w:rPr>
            </w:pPr>
            <w:r w:rsidRPr="00C57F8B">
              <w:rPr>
                <w:rFonts w:ascii="Calibri" w:eastAsia="Times New Roman" w:hAnsi="Calibri" w:cs="Times New Roman"/>
                <w:b/>
                <w:bCs/>
                <w:color w:val="000000"/>
                <w:sz w:val="28"/>
                <w:szCs w:val="28"/>
                <w:lang w:eastAsia="es-ES"/>
              </w:rPr>
              <w:t>C</w:t>
            </w:r>
          </w:p>
        </w:tc>
        <w:tc>
          <w:tcPr>
            <w:tcW w:w="1762" w:type="dxa"/>
            <w:vMerge w:val="restart"/>
            <w:tcBorders>
              <w:top w:val="nil"/>
              <w:left w:val="single" w:sz="4" w:space="0" w:color="auto"/>
              <w:bottom w:val="single" w:sz="4" w:space="0" w:color="auto"/>
              <w:right w:val="single" w:sz="4" w:space="0" w:color="auto"/>
            </w:tcBorders>
            <w:shd w:val="clear" w:color="000000" w:fill="F2F2F2"/>
            <w:vAlign w:val="center"/>
            <w:hideMark/>
          </w:tcPr>
          <w:p w:rsidR="00C57F8B" w:rsidRPr="00C57F8B" w:rsidRDefault="00C57F8B" w:rsidP="00C57F8B">
            <w:pPr>
              <w:spacing w:after="0" w:line="240" w:lineRule="auto"/>
              <w:jc w:val="center"/>
              <w:rPr>
                <w:rFonts w:ascii="Calibri" w:eastAsia="Times New Roman" w:hAnsi="Calibri" w:cs="Times New Roman"/>
                <w:b/>
                <w:bCs/>
                <w:color w:val="000000"/>
                <w:lang w:eastAsia="es-ES"/>
              </w:rPr>
            </w:pPr>
            <w:r w:rsidRPr="00C57F8B">
              <w:rPr>
                <w:rFonts w:ascii="Calibri" w:eastAsia="Times New Roman" w:hAnsi="Calibri" w:cs="Times New Roman"/>
                <w:b/>
                <w:bCs/>
                <w:color w:val="000000"/>
                <w:lang w:eastAsia="es-ES"/>
              </w:rPr>
              <w:t xml:space="preserve">Control                            (CE </w:t>
            </w:r>
            <w:r w:rsidRPr="00C57F8B">
              <w:rPr>
                <w:rFonts w:ascii="Symbol" w:eastAsia="Times New Roman" w:hAnsi="Symbol" w:cs="Times New Roman"/>
                <w:b/>
                <w:bCs/>
                <w:color w:val="000000"/>
                <w:lang w:eastAsia="es-ES"/>
              </w:rPr>
              <w:t></w:t>
            </w:r>
            <w:r w:rsidRPr="00C57F8B">
              <w:rPr>
                <w:rFonts w:ascii="Calibri" w:eastAsia="Times New Roman" w:hAnsi="Calibri" w:cs="Times New Roman"/>
                <w:b/>
                <w:bCs/>
                <w:color w:val="000000"/>
                <w:lang w:eastAsia="es-ES"/>
              </w:rPr>
              <w:t xml:space="preserve"> 2</w:t>
            </w:r>
            <w:r w:rsidR="00605A93">
              <w:rPr>
                <w:rFonts w:ascii="Calibri" w:eastAsia="Times New Roman" w:hAnsi="Calibri" w:cs="Times New Roman"/>
                <w:b/>
                <w:bCs/>
                <w:color w:val="000000"/>
                <w:lang w:eastAsia="es-ES"/>
              </w:rPr>
              <w:t>,2</w:t>
            </w:r>
            <w:r w:rsidRPr="00C57F8B">
              <w:rPr>
                <w:rFonts w:ascii="Calibri" w:eastAsia="Times New Roman" w:hAnsi="Calibri" w:cs="Times New Roman"/>
                <w:b/>
                <w:bCs/>
                <w:color w:val="000000"/>
                <w:lang w:eastAsia="es-ES"/>
              </w:rPr>
              <w:t xml:space="preserve"> </w:t>
            </w:r>
            <w:r w:rsidR="0012621C">
              <w:rPr>
                <w:rFonts w:ascii="Calibri" w:eastAsia="Times New Roman" w:hAnsi="Calibri" w:cs="Times New Roman"/>
                <w:b/>
                <w:bCs/>
                <w:color w:val="000000"/>
                <w:lang w:eastAsia="es-ES"/>
              </w:rPr>
              <w:t>dS/m</w:t>
            </w:r>
            <w:r w:rsidRPr="00C57F8B">
              <w:rPr>
                <w:rFonts w:ascii="Calibri" w:eastAsia="Times New Roman" w:hAnsi="Calibri" w:cs="Times New Roman"/>
                <w:b/>
                <w:bCs/>
                <w:color w:val="000000"/>
                <w:lang w:eastAsia="es-ES"/>
              </w:rPr>
              <w:t>)</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1</w:t>
            </w:r>
            <w:r w:rsidRPr="00C57F8B">
              <w:rPr>
                <w:rFonts w:ascii="Calibri" w:eastAsia="Times New Roman" w:hAnsi="Calibri" w:cs="Times New Roman"/>
                <w:color w:val="000000"/>
                <w:vertAlign w:val="subscript"/>
                <w:lang w:eastAsia="es-ES"/>
              </w:rPr>
              <w:t>C1</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1</w:t>
            </w:r>
            <w:r w:rsidRPr="00C57F8B">
              <w:rPr>
                <w:rFonts w:ascii="Calibri" w:eastAsia="Times New Roman" w:hAnsi="Calibri" w:cs="Times New Roman"/>
                <w:color w:val="000000"/>
                <w:vertAlign w:val="subscript"/>
                <w:lang w:eastAsia="es-ES"/>
              </w:rPr>
              <w:t>C2</w:t>
            </w:r>
          </w:p>
        </w:tc>
      </w:tr>
      <w:tr w:rsidR="00C57F8B" w:rsidRPr="00C57F8B" w:rsidTr="0012621C">
        <w:trPr>
          <w:trHeight w:val="70"/>
          <w:jc w:val="center"/>
        </w:trPr>
        <w:tc>
          <w:tcPr>
            <w:tcW w:w="918"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sz w:val="28"/>
                <w:szCs w:val="28"/>
                <w:lang w:eastAsia="es-ES"/>
              </w:rPr>
            </w:pPr>
          </w:p>
        </w:tc>
        <w:tc>
          <w:tcPr>
            <w:tcW w:w="1762"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lang w:eastAsia="es-ES"/>
              </w:rPr>
            </w:pP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2</w:t>
            </w:r>
            <w:r w:rsidRPr="00C57F8B">
              <w:rPr>
                <w:rFonts w:ascii="Calibri" w:eastAsia="Times New Roman" w:hAnsi="Calibri" w:cs="Times New Roman"/>
                <w:color w:val="000000"/>
                <w:vertAlign w:val="subscript"/>
                <w:lang w:eastAsia="es-ES"/>
              </w:rPr>
              <w:t>C1</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2</w:t>
            </w:r>
            <w:r w:rsidRPr="00C57F8B">
              <w:rPr>
                <w:rFonts w:ascii="Calibri" w:eastAsia="Times New Roman" w:hAnsi="Calibri" w:cs="Times New Roman"/>
                <w:color w:val="000000"/>
                <w:vertAlign w:val="subscript"/>
                <w:lang w:eastAsia="es-ES"/>
              </w:rPr>
              <w:t>C2</w:t>
            </w:r>
          </w:p>
        </w:tc>
      </w:tr>
      <w:tr w:rsidR="00C57F8B" w:rsidRPr="00C57F8B" w:rsidTr="0012621C">
        <w:trPr>
          <w:trHeight w:val="190"/>
          <w:jc w:val="center"/>
        </w:trPr>
        <w:tc>
          <w:tcPr>
            <w:tcW w:w="918"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sz w:val="28"/>
                <w:szCs w:val="28"/>
                <w:lang w:eastAsia="es-ES"/>
              </w:rPr>
            </w:pPr>
          </w:p>
        </w:tc>
        <w:tc>
          <w:tcPr>
            <w:tcW w:w="1762"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lang w:eastAsia="es-ES"/>
              </w:rPr>
            </w:pP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3</w:t>
            </w:r>
            <w:r w:rsidRPr="00C57F8B">
              <w:rPr>
                <w:rFonts w:ascii="Calibri" w:eastAsia="Times New Roman" w:hAnsi="Calibri" w:cs="Times New Roman"/>
                <w:color w:val="000000"/>
                <w:vertAlign w:val="subscript"/>
                <w:lang w:eastAsia="es-ES"/>
              </w:rPr>
              <w:t>C1</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3</w:t>
            </w:r>
            <w:r w:rsidRPr="00C57F8B">
              <w:rPr>
                <w:rFonts w:ascii="Calibri" w:eastAsia="Times New Roman" w:hAnsi="Calibri" w:cs="Times New Roman"/>
                <w:color w:val="000000"/>
                <w:vertAlign w:val="subscript"/>
                <w:lang w:eastAsia="es-ES"/>
              </w:rPr>
              <w:t>C2</w:t>
            </w:r>
          </w:p>
        </w:tc>
      </w:tr>
      <w:tr w:rsidR="00C57F8B" w:rsidRPr="00C57F8B" w:rsidTr="0012621C">
        <w:trPr>
          <w:trHeight w:val="70"/>
          <w:jc w:val="center"/>
        </w:trPr>
        <w:tc>
          <w:tcPr>
            <w:tcW w:w="918"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C57F8B" w:rsidRPr="00C57F8B" w:rsidRDefault="00C57F8B" w:rsidP="00C57F8B">
            <w:pPr>
              <w:spacing w:after="0" w:line="240" w:lineRule="auto"/>
              <w:jc w:val="center"/>
              <w:rPr>
                <w:rFonts w:ascii="Calibri" w:eastAsia="Times New Roman" w:hAnsi="Calibri" w:cs="Times New Roman"/>
                <w:b/>
                <w:bCs/>
                <w:color w:val="000000"/>
                <w:sz w:val="28"/>
                <w:szCs w:val="28"/>
                <w:lang w:eastAsia="es-ES"/>
              </w:rPr>
            </w:pPr>
            <w:r w:rsidRPr="00C57F8B">
              <w:rPr>
                <w:rFonts w:ascii="Calibri" w:eastAsia="Times New Roman" w:hAnsi="Calibri" w:cs="Times New Roman"/>
                <w:b/>
                <w:bCs/>
                <w:color w:val="000000"/>
                <w:sz w:val="28"/>
                <w:szCs w:val="28"/>
                <w:lang w:eastAsia="es-ES"/>
              </w:rPr>
              <w:t>1</w:t>
            </w:r>
          </w:p>
        </w:tc>
        <w:tc>
          <w:tcPr>
            <w:tcW w:w="1762"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57F8B" w:rsidRPr="00C57F8B" w:rsidRDefault="00C57F8B" w:rsidP="00C57F8B">
            <w:pPr>
              <w:spacing w:after="0" w:line="240" w:lineRule="auto"/>
              <w:jc w:val="center"/>
              <w:rPr>
                <w:rFonts w:ascii="Calibri" w:eastAsia="Times New Roman" w:hAnsi="Calibri" w:cs="Times New Roman"/>
                <w:b/>
                <w:bCs/>
                <w:color w:val="000000"/>
                <w:lang w:eastAsia="es-ES"/>
              </w:rPr>
            </w:pPr>
            <w:r w:rsidRPr="00C57F8B">
              <w:rPr>
                <w:rFonts w:ascii="Calibri" w:eastAsia="Times New Roman" w:hAnsi="Calibri" w:cs="Times New Roman"/>
                <w:b/>
                <w:bCs/>
                <w:color w:val="000000"/>
                <w:lang w:eastAsia="es-ES"/>
              </w:rPr>
              <w:t xml:space="preserve">CE = 3 </w:t>
            </w:r>
            <w:r w:rsidR="0012621C">
              <w:rPr>
                <w:rFonts w:ascii="Calibri" w:eastAsia="Times New Roman" w:hAnsi="Calibri" w:cs="Times New Roman"/>
                <w:b/>
                <w:bCs/>
                <w:color w:val="000000"/>
                <w:lang w:eastAsia="es-ES"/>
              </w:rPr>
              <w:t>dS/m</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1</w:t>
            </w:r>
            <w:r w:rsidRPr="00C57F8B">
              <w:rPr>
                <w:rFonts w:ascii="Calibri" w:eastAsia="Times New Roman" w:hAnsi="Calibri" w:cs="Times New Roman"/>
                <w:color w:val="000000"/>
                <w:vertAlign w:val="subscript"/>
                <w:lang w:eastAsia="es-ES"/>
              </w:rPr>
              <w:t>11</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1</w:t>
            </w:r>
            <w:r w:rsidRPr="00C57F8B">
              <w:rPr>
                <w:rFonts w:ascii="Calibri" w:eastAsia="Times New Roman" w:hAnsi="Calibri" w:cs="Times New Roman"/>
                <w:color w:val="000000"/>
                <w:vertAlign w:val="subscript"/>
                <w:lang w:eastAsia="es-ES"/>
              </w:rPr>
              <w:t>12</w:t>
            </w:r>
          </w:p>
        </w:tc>
      </w:tr>
      <w:tr w:rsidR="00C57F8B" w:rsidRPr="00C57F8B" w:rsidTr="0012621C">
        <w:trPr>
          <w:trHeight w:val="70"/>
          <w:jc w:val="center"/>
        </w:trPr>
        <w:tc>
          <w:tcPr>
            <w:tcW w:w="918"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sz w:val="28"/>
                <w:szCs w:val="28"/>
                <w:lang w:eastAsia="es-ES"/>
              </w:rPr>
            </w:pPr>
          </w:p>
        </w:tc>
        <w:tc>
          <w:tcPr>
            <w:tcW w:w="1762"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lang w:eastAsia="es-ES"/>
              </w:rPr>
            </w:pP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2</w:t>
            </w:r>
            <w:r w:rsidRPr="00C57F8B">
              <w:rPr>
                <w:rFonts w:ascii="Calibri" w:eastAsia="Times New Roman" w:hAnsi="Calibri" w:cs="Times New Roman"/>
                <w:color w:val="000000"/>
                <w:vertAlign w:val="subscript"/>
                <w:lang w:eastAsia="es-ES"/>
              </w:rPr>
              <w:t>11</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2</w:t>
            </w:r>
            <w:r w:rsidRPr="00C57F8B">
              <w:rPr>
                <w:rFonts w:ascii="Calibri" w:eastAsia="Times New Roman" w:hAnsi="Calibri" w:cs="Times New Roman"/>
                <w:color w:val="000000"/>
                <w:vertAlign w:val="subscript"/>
                <w:lang w:eastAsia="es-ES"/>
              </w:rPr>
              <w:t>12</w:t>
            </w:r>
          </w:p>
        </w:tc>
      </w:tr>
      <w:tr w:rsidR="00C57F8B" w:rsidRPr="00C57F8B" w:rsidTr="0012621C">
        <w:trPr>
          <w:trHeight w:val="202"/>
          <w:jc w:val="center"/>
        </w:trPr>
        <w:tc>
          <w:tcPr>
            <w:tcW w:w="918"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sz w:val="28"/>
                <w:szCs w:val="28"/>
                <w:lang w:eastAsia="es-ES"/>
              </w:rPr>
            </w:pPr>
          </w:p>
        </w:tc>
        <w:tc>
          <w:tcPr>
            <w:tcW w:w="1762"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lang w:eastAsia="es-ES"/>
              </w:rPr>
            </w:pP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3</w:t>
            </w:r>
            <w:r w:rsidRPr="00C57F8B">
              <w:rPr>
                <w:rFonts w:ascii="Calibri" w:eastAsia="Times New Roman" w:hAnsi="Calibri" w:cs="Times New Roman"/>
                <w:color w:val="000000"/>
                <w:vertAlign w:val="subscript"/>
                <w:lang w:eastAsia="es-ES"/>
              </w:rPr>
              <w:t>11</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3</w:t>
            </w:r>
            <w:r w:rsidRPr="00C57F8B">
              <w:rPr>
                <w:rFonts w:ascii="Calibri" w:eastAsia="Times New Roman" w:hAnsi="Calibri" w:cs="Times New Roman"/>
                <w:color w:val="000000"/>
                <w:vertAlign w:val="subscript"/>
                <w:lang w:eastAsia="es-ES"/>
              </w:rPr>
              <w:t>12</w:t>
            </w:r>
          </w:p>
        </w:tc>
      </w:tr>
      <w:tr w:rsidR="00C57F8B" w:rsidRPr="00C57F8B" w:rsidTr="0012621C">
        <w:trPr>
          <w:trHeight w:val="70"/>
          <w:jc w:val="center"/>
        </w:trPr>
        <w:tc>
          <w:tcPr>
            <w:tcW w:w="918"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C57F8B" w:rsidRPr="00C57F8B" w:rsidRDefault="00C57F8B" w:rsidP="00C57F8B">
            <w:pPr>
              <w:spacing w:after="0" w:line="240" w:lineRule="auto"/>
              <w:jc w:val="center"/>
              <w:rPr>
                <w:rFonts w:ascii="Calibri" w:eastAsia="Times New Roman" w:hAnsi="Calibri" w:cs="Times New Roman"/>
                <w:b/>
                <w:bCs/>
                <w:color w:val="000000"/>
                <w:sz w:val="28"/>
                <w:szCs w:val="28"/>
                <w:lang w:eastAsia="es-ES"/>
              </w:rPr>
            </w:pPr>
            <w:r w:rsidRPr="00C57F8B">
              <w:rPr>
                <w:rFonts w:ascii="Calibri" w:eastAsia="Times New Roman" w:hAnsi="Calibri" w:cs="Times New Roman"/>
                <w:b/>
                <w:bCs/>
                <w:color w:val="000000"/>
                <w:sz w:val="28"/>
                <w:szCs w:val="28"/>
                <w:lang w:eastAsia="es-ES"/>
              </w:rPr>
              <w:t>2</w:t>
            </w:r>
          </w:p>
        </w:tc>
        <w:tc>
          <w:tcPr>
            <w:tcW w:w="1762"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C57F8B" w:rsidRPr="00C57F8B" w:rsidRDefault="00C57F8B" w:rsidP="00C57F8B">
            <w:pPr>
              <w:spacing w:after="0" w:line="240" w:lineRule="auto"/>
              <w:jc w:val="center"/>
              <w:rPr>
                <w:rFonts w:ascii="Calibri" w:eastAsia="Times New Roman" w:hAnsi="Calibri" w:cs="Times New Roman"/>
                <w:b/>
                <w:bCs/>
                <w:color w:val="000000"/>
                <w:lang w:eastAsia="es-ES"/>
              </w:rPr>
            </w:pPr>
            <w:r w:rsidRPr="00C57F8B">
              <w:rPr>
                <w:rFonts w:ascii="Calibri" w:eastAsia="Times New Roman" w:hAnsi="Calibri" w:cs="Times New Roman"/>
                <w:b/>
                <w:bCs/>
                <w:color w:val="000000"/>
                <w:lang w:eastAsia="es-ES"/>
              </w:rPr>
              <w:t xml:space="preserve">CE = 3,5 </w:t>
            </w:r>
            <w:r w:rsidR="0012621C">
              <w:rPr>
                <w:rFonts w:ascii="Calibri" w:eastAsia="Times New Roman" w:hAnsi="Calibri" w:cs="Times New Roman"/>
                <w:b/>
                <w:bCs/>
                <w:color w:val="000000"/>
                <w:lang w:eastAsia="es-ES"/>
              </w:rPr>
              <w:t>dS/m</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1</w:t>
            </w:r>
            <w:r w:rsidRPr="00C57F8B">
              <w:rPr>
                <w:rFonts w:ascii="Calibri" w:eastAsia="Times New Roman" w:hAnsi="Calibri" w:cs="Times New Roman"/>
                <w:color w:val="000000"/>
                <w:vertAlign w:val="subscript"/>
                <w:lang w:eastAsia="es-ES"/>
              </w:rPr>
              <w:t>21</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1</w:t>
            </w:r>
            <w:r w:rsidRPr="00C57F8B">
              <w:rPr>
                <w:rFonts w:ascii="Calibri" w:eastAsia="Times New Roman" w:hAnsi="Calibri" w:cs="Times New Roman"/>
                <w:color w:val="000000"/>
                <w:vertAlign w:val="subscript"/>
                <w:lang w:eastAsia="es-ES"/>
              </w:rPr>
              <w:t>22</w:t>
            </w:r>
          </w:p>
        </w:tc>
      </w:tr>
      <w:tr w:rsidR="00C57F8B" w:rsidRPr="00C57F8B" w:rsidTr="0012621C">
        <w:trPr>
          <w:trHeight w:val="70"/>
          <w:jc w:val="center"/>
        </w:trPr>
        <w:tc>
          <w:tcPr>
            <w:tcW w:w="918"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sz w:val="28"/>
                <w:szCs w:val="28"/>
                <w:lang w:eastAsia="es-ES"/>
              </w:rPr>
            </w:pPr>
          </w:p>
        </w:tc>
        <w:tc>
          <w:tcPr>
            <w:tcW w:w="1762"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lang w:eastAsia="es-ES"/>
              </w:rPr>
            </w:pP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2</w:t>
            </w:r>
            <w:r w:rsidRPr="00C57F8B">
              <w:rPr>
                <w:rFonts w:ascii="Calibri" w:eastAsia="Times New Roman" w:hAnsi="Calibri" w:cs="Times New Roman"/>
                <w:color w:val="000000"/>
                <w:vertAlign w:val="subscript"/>
                <w:lang w:eastAsia="es-ES"/>
              </w:rPr>
              <w:t>21</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2</w:t>
            </w:r>
            <w:r w:rsidRPr="00C57F8B">
              <w:rPr>
                <w:rFonts w:ascii="Calibri" w:eastAsia="Times New Roman" w:hAnsi="Calibri" w:cs="Times New Roman"/>
                <w:color w:val="000000"/>
                <w:vertAlign w:val="subscript"/>
                <w:lang w:eastAsia="es-ES"/>
              </w:rPr>
              <w:t>22</w:t>
            </w:r>
          </w:p>
        </w:tc>
      </w:tr>
      <w:tr w:rsidR="00C57F8B" w:rsidRPr="00C57F8B" w:rsidTr="0012621C">
        <w:trPr>
          <w:trHeight w:val="214"/>
          <w:jc w:val="center"/>
        </w:trPr>
        <w:tc>
          <w:tcPr>
            <w:tcW w:w="918"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sz w:val="28"/>
                <w:szCs w:val="28"/>
                <w:lang w:eastAsia="es-ES"/>
              </w:rPr>
            </w:pPr>
          </w:p>
        </w:tc>
        <w:tc>
          <w:tcPr>
            <w:tcW w:w="1762" w:type="dxa"/>
            <w:vMerge/>
            <w:tcBorders>
              <w:top w:val="nil"/>
              <w:left w:val="single" w:sz="4" w:space="0" w:color="auto"/>
              <w:bottom w:val="single" w:sz="4" w:space="0" w:color="auto"/>
              <w:right w:val="single" w:sz="4" w:space="0" w:color="auto"/>
            </w:tcBorders>
            <w:vAlign w:val="center"/>
            <w:hideMark/>
          </w:tcPr>
          <w:p w:rsidR="00C57F8B" w:rsidRPr="00C57F8B" w:rsidRDefault="00C57F8B" w:rsidP="00C57F8B">
            <w:pPr>
              <w:spacing w:after="0" w:line="240" w:lineRule="auto"/>
              <w:rPr>
                <w:rFonts w:ascii="Calibri" w:eastAsia="Times New Roman" w:hAnsi="Calibri" w:cs="Times New Roman"/>
                <w:b/>
                <w:bCs/>
                <w:color w:val="000000"/>
                <w:lang w:eastAsia="es-ES"/>
              </w:rPr>
            </w:pP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3</w:t>
            </w:r>
            <w:r w:rsidRPr="00C57F8B">
              <w:rPr>
                <w:rFonts w:ascii="Calibri" w:eastAsia="Times New Roman" w:hAnsi="Calibri" w:cs="Times New Roman"/>
                <w:color w:val="000000"/>
                <w:vertAlign w:val="subscript"/>
                <w:lang w:eastAsia="es-ES"/>
              </w:rPr>
              <w:t>21</w:t>
            </w:r>
          </w:p>
        </w:tc>
        <w:tc>
          <w:tcPr>
            <w:tcW w:w="1420" w:type="dxa"/>
            <w:tcBorders>
              <w:top w:val="nil"/>
              <w:left w:val="nil"/>
              <w:bottom w:val="single" w:sz="4" w:space="0" w:color="auto"/>
              <w:right w:val="single" w:sz="4" w:space="0" w:color="auto"/>
            </w:tcBorders>
            <w:shd w:val="clear" w:color="auto" w:fill="auto"/>
            <w:noWrap/>
            <w:vAlign w:val="center"/>
            <w:hideMark/>
          </w:tcPr>
          <w:p w:rsidR="00C57F8B" w:rsidRPr="00C57F8B" w:rsidRDefault="00C57F8B" w:rsidP="00C57F8B">
            <w:pPr>
              <w:spacing w:after="0" w:line="240" w:lineRule="auto"/>
              <w:jc w:val="center"/>
              <w:rPr>
                <w:rFonts w:ascii="Calibri" w:eastAsia="Times New Roman" w:hAnsi="Calibri" w:cs="Times New Roman"/>
                <w:color w:val="000000"/>
                <w:lang w:eastAsia="es-ES"/>
              </w:rPr>
            </w:pPr>
            <w:r w:rsidRPr="00C57F8B">
              <w:rPr>
                <w:rFonts w:ascii="Calibri" w:eastAsia="Times New Roman" w:hAnsi="Calibri" w:cs="Times New Roman"/>
                <w:color w:val="000000"/>
                <w:lang w:eastAsia="es-ES"/>
              </w:rPr>
              <w:t>Repetición 3</w:t>
            </w:r>
            <w:r w:rsidRPr="00C57F8B">
              <w:rPr>
                <w:rFonts w:ascii="Calibri" w:eastAsia="Times New Roman" w:hAnsi="Calibri" w:cs="Times New Roman"/>
                <w:color w:val="000000"/>
                <w:vertAlign w:val="subscript"/>
                <w:lang w:eastAsia="es-ES"/>
              </w:rPr>
              <w:t>22</w:t>
            </w:r>
          </w:p>
        </w:tc>
      </w:tr>
      <w:tr w:rsidR="00C57F8B" w:rsidRPr="00C57F8B" w:rsidTr="00C57F8B">
        <w:trPr>
          <w:trHeight w:val="300"/>
          <w:jc w:val="center"/>
        </w:trPr>
        <w:tc>
          <w:tcPr>
            <w:tcW w:w="5520" w:type="dxa"/>
            <w:gridSpan w:val="4"/>
            <w:tcBorders>
              <w:top w:val="single" w:sz="4" w:space="0" w:color="auto"/>
              <w:left w:val="nil"/>
              <w:bottom w:val="nil"/>
              <w:right w:val="nil"/>
            </w:tcBorders>
            <w:shd w:val="clear" w:color="auto" w:fill="auto"/>
            <w:noWrap/>
            <w:vAlign w:val="center"/>
            <w:hideMark/>
          </w:tcPr>
          <w:p w:rsidR="00C57F8B" w:rsidRPr="00C57F8B" w:rsidRDefault="00C57F8B" w:rsidP="00513618">
            <w:pPr>
              <w:spacing w:after="0" w:line="240" w:lineRule="auto"/>
              <w:rPr>
                <w:rFonts w:ascii="Calibri" w:eastAsia="Times New Roman" w:hAnsi="Calibri" w:cs="Times New Roman"/>
                <w:color w:val="000000"/>
                <w:sz w:val="16"/>
                <w:szCs w:val="16"/>
                <w:lang w:eastAsia="es-ES"/>
              </w:rPr>
            </w:pPr>
            <w:r w:rsidRPr="00C57F8B">
              <w:rPr>
                <w:rFonts w:ascii="Calibri" w:eastAsia="Times New Roman" w:hAnsi="Calibri" w:cs="Times New Roman"/>
                <w:color w:val="000000"/>
                <w:sz w:val="16"/>
                <w:szCs w:val="16"/>
                <w:lang w:eastAsia="es-ES"/>
              </w:rPr>
              <w:t xml:space="preserve">Tabla </w:t>
            </w:r>
            <w:r w:rsidR="00A17B3B">
              <w:rPr>
                <w:rFonts w:ascii="Calibri" w:eastAsia="Times New Roman" w:hAnsi="Calibri" w:cs="Times New Roman"/>
                <w:color w:val="000000"/>
                <w:sz w:val="16"/>
                <w:szCs w:val="16"/>
                <w:lang w:eastAsia="es-ES"/>
              </w:rPr>
              <w:t>1.</w:t>
            </w:r>
            <w:r w:rsidRPr="00C57F8B">
              <w:rPr>
                <w:rFonts w:ascii="Calibri" w:eastAsia="Times New Roman" w:hAnsi="Calibri" w:cs="Times New Roman"/>
                <w:color w:val="000000"/>
                <w:sz w:val="16"/>
                <w:szCs w:val="16"/>
                <w:lang w:eastAsia="es-ES"/>
              </w:rPr>
              <w:t>1: Croquis experimental</w:t>
            </w:r>
            <w:r w:rsidR="00513618">
              <w:rPr>
                <w:rFonts w:ascii="Calibri" w:eastAsia="Times New Roman" w:hAnsi="Calibri" w:cs="Times New Roman"/>
                <w:color w:val="000000"/>
                <w:sz w:val="16"/>
                <w:szCs w:val="16"/>
                <w:lang w:eastAsia="es-ES"/>
              </w:rPr>
              <w:t xml:space="preserve">          </w:t>
            </w:r>
            <w:r w:rsidR="00A17B3B">
              <w:rPr>
                <w:rFonts w:ascii="Calibri" w:eastAsia="Times New Roman" w:hAnsi="Calibri" w:cs="Times New Roman"/>
                <w:color w:val="000000"/>
                <w:sz w:val="16"/>
                <w:szCs w:val="16"/>
                <w:lang w:eastAsia="es-ES"/>
              </w:rPr>
              <w:t xml:space="preserve">                             </w:t>
            </w:r>
            <w:r w:rsidR="00484200">
              <w:rPr>
                <w:rFonts w:ascii="Calibri" w:eastAsia="Times New Roman" w:hAnsi="Calibri" w:cs="Times New Roman"/>
                <w:color w:val="000000"/>
                <w:sz w:val="16"/>
                <w:szCs w:val="16"/>
                <w:lang w:eastAsia="es-ES"/>
              </w:rPr>
              <w:t xml:space="preserve">  </w:t>
            </w:r>
            <w:r w:rsidR="00513618">
              <w:rPr>
                <w:rFonts w:ascii="Calibri" w:eastAsia="Times New Roman" w:hAnsi="Calibri" w:cs="Times New Roman"/>
                <w:color w:val="000000"/>
                <w:sz w:val="16"/>
                <w:szCs w:val="16"/>
                <w:lang w:eastAsia="es-ES"/>
              </w:rPr>
              <w:t xml:space="preserve"> </w:t>
            </w:r>
            <w:r w:rsidR="00513618" w:rsidRPr="00484200">
              <w:rPr>
                <w:rFonts w:ascii="Calibri" w:eastAsia="Times New Roman" w:hAnsi="Calibri" w:cs="Times New Roman"/>
                <w:b/>
                <w:color w:val="000000"/>
                <w:sz w:val="16"/>
                <w:szCs w:val="16"/>
                <w:lang w:eastAsia="es-ES"/>
              </w:rPr>
              <w:t>Fuente</w:t>
            </w:r>
            <w:r w:rsidR="00513618">
              <w:rPr>
                <w:rFonts w:ascii="Calibri" w:eastAsia="Times New Roman" w:hAnsi="Calibri" w:cs="Times New Roman"/>
                <w:color w:val="000000"/>
                <w:sz w:val="16"/>
                <w:szCs w:val="16"/>
                <w:lang w:eastAsia="es-ES"/>
              </w:rPr>
              <w:t>: Elaboración propia</w:t>
            </w:r>
          </w:p>
        </w:tc>
      </w:tr>
    </w:tbl>
    <w:p w:rsidR="00C57F8B" w:rsidRPr="005B6D42" w:rsidRDefault="005B6D42" w:rsidP="0004015B">
      <w:pPr>
        <w:jc w:val="both"/>
      </w:pPr>
      <w:r>
        <w:rPr>
          <w:i/>
        </w:rPr>
        <w:t>Análisis estadístico</w:t>
      </w:r>
      <w:r>
        <w:t>:</w:t>
      </w:r>
      <w:r w:rsidR="00311FA7">
        <w:t xml:space="preserve"> Se </w:t>
      </w:r>
      <w:r w:rsidR="00DB1ECE">
        <w:t>empleó</w:t>
      </w:r>
      <w:r w:rsidR="00311FA7">
        <w:t xml:space="preserve"> </w:t>
      </w:r>
      <w:r w:rsidR="00957D52">
        <w:t>una evaluación descriptiva de los resultados, empleando gráficos comparativos para los tratamientos y bloques</w:t>
      </w:r>
      <w:r w:rsidR="00311FA7">
        <w:t>.</w:t>
      </w:r>
    </w:p>
    <w:p w:rsidR="00957D52" w:rsidRPr="00957D52" w:rsidRDefault="00957D52" w:rsidP="0004015B">
      <w:pPr>
        <w:jc w:val="both"/>
        <w:rPr>
          <w:b/>
        </w:rPr>
      </w:pPr>
      <w:r>
        <w:rPr>
          <w:b/>
        </w:rPr>
        <w:t>3. Desarrollo</w:t>
      </w:r>
    </w:p>
    <w:p w:rsidR="0038049A" w:rsidRDefault="005B6D42" w:rsidP="0004015B">
      <w:pPr>
        <w:jc w:val="both"/>
        <w:rPr>
          <w:noProof/>
          <w:lang w:eastAsia="es-ES"/>
        </w:rPr>
      </w:pPr>
      <w:r>
        <w:t xml:space="preserve">Se instaló el experimento según lo programado, al tiempo que se designó el cronograma de riegos diarios para las macetas entre todos los estudiantes. Las semillas se sembraron el miércoles 7 de setiembre de 2011, </w:t>
      </w:r>
      <w:r w:rsidR="00DB1ECE">
        <w:t>y se dio inicio así a</w:t>
      </w:r>
      <w:r>
        <w:t>l experimento.</w:t>
      </w:r>
    </w:p>
    <w:p w:rsidR="0038049A" w:rsidRDefault="002D6B29" w:rsidP="003F2596">
      <w:pPr>
        <w:jc w:val="center"/>
      </w:pPr>
      <w:r w:rsidRPr="002D6B29">
        <w:rPr>
          <w:noProof/>
        </w:rPr>
        <w:pict>
          <v:shape id="_x0000_s1026" type="#_x0000_t202" style="position:absolute;left:0;text-align:left;margin-left:32.2pt;margin-top:135.65pt;width:360.8pt;height:21.15pt;z-index:251661312;mso-width-relative:margin;mso-height-relative:margin" filled="f" stroked="f" strokecolor="black [3213]">
            <v:textbox style="mso-next-textbox:#_x0000_s1026">
              <w:txbxContent>
                <w:p w:rsidR="003C71AD" w:rsidRPr="0038049A" w:rsidRDefault="003C71AD" w:rsidP="003F2596">
                  <w:pPr>
                    <w:jc w:val="center"/>
                    <w:rPr>
                      <w:sz w:val="16"/>
                      <w:szCs w:val="18"/>
                    </w:rPr>
                  </w:pPr>
                  <w:r w:rsidRPr="0038049A">
                    <w:rPr>
                      <w:sz w:val="16"/>
                      <w:szCs w:val="18"/>
                    </w:rPr>
                    <w:t xml:space="preserve">Figuras </w:t>
                  </w:r>
                  <w:r>
                    <w:rPr>
                      <w:sz w:val="16"/>
                      <w:szCs w:val="18"/>
                    </w:rPr>
                    <w:t>1.</w:t>
                  </w:r>
                  <w:r w:rsidRPr="0038049A">
                    <w:rPr>
                      <w:sz w:val="16"/>
                      <w:szCs w:val="18"/>
                    </w:rPr>
                    <w:t xml:space="preserve">1 y </w:t>
                  </w:r>
                  <w:r>
                    <w:rPr>
                      <w:sz w:val="16"/>
                      <w:szCs w:val="18"/>
                    </w:rPr>
                    <w:t>1.</w:t>
                  </w:r>
                  <w:r w:rsidRPr="0038049A">
                    <w:rPr>
                      <w:sz w:val="16"/>
                      <w:szCs w:val="18"/>
                    </w:rPr>
                    <w:t>2: Experimento instalado</w:t>
                  </w:r>
                </w:p>
              </w:txbxContent>
            </v:textbox>
          </v:shape>
        </w:pict>
      </w:r>
      <w:r w:rsidR="0038049A">
        <w:rPr>
          <w:noProof/>
          <w:lang w:val="es-PE" w:eastAsia="es-PE"/>
        </w:rPr>
        <w:drawing>
          <wp:inline distT="0" distB="0" distL="0" distR="0">
            <wp:extent cx="2238480" cy="1677738"/>
            <wp:effectExtent l="19050" t="0" r="9420" b="0"/>
            <wp:docPr id="7" name="Imagen 2" descr="C:\Documents and Settings\Administrator\Escritorio\EAMN\Curso - Fisiología Vegetal Avanzada\P913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Escritorio\EAMN\Curso - Fisiología Vegetal Avanzada\P9130109.JPG"/>
                    <pic:cNvPicPr>
                      <a:picLocks noChangeAspect="1" noChangeArrowheads="1"/>
                    </pic:cNvPicPr>
                  </pic:nvPicPr>
                  <pic:blipFill>
                    <a:blip r:embed="rId9" cstate="print"/>
                    <a:srcRect/>
                    <a:stretch>
                      <a:fillRect/>
                    </a:stretch>
                  </pic:blipFill>
                  <pic:spPr bwMode="auto">
                    <a:xfrm>
                      <a:off x="0" y="0"/>
                      <a:ext cx="2239669" cy="1678629"/>
                    </a:xfrm>
                    <a:prstGeom prst="rect">
                      <a:avLst/>
                    </a:prstGeom>
                    <a:noFill/>
                    <a:ln w="9525">
                      <a:noFill/>
                      <a:miter lim="800000"/>
                      <a:headEnd/>
                      <a:tailEnd/>
                    </a:ln>
                  </pic:spPr>
                </pic:pic>
              </a:graphicData>
            </a:graphic>
          </wp:inline>
        </w:drawing>
      </w:r>
      <w:r w:rsidR="0038049A">
        <w:rPr>
          <w:noProof/>
          <w:lang w:val="es-PE" w:eastAsia="es-PE"/>
        </w:rPr>
        <w:drawing>
          <wp:inline distT="0" distB="0" distL="0" distR="0">
            <wp:extent cx="2287080" cy="1714500"/>
            <wp:effectExtent l="19050" t="0" r="0" b="0"/>
            <wp:docPr id="6" name="Imagen 1" descr="C:\Documents and Settings\Administrator\Escritorio\EAMN\Curso - Fisiología Vegetal Avanzada\P913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Escritorio\EAMN\Curso - Fisiología Vegetal Avanzada\P9130108.JPG"/>
                    <pic:cNvPicPr>
                      <a:picLocks noChangeAspect="1" noChangeArrowheads="1"/>
                    </pic:cNvPicPr>
                  </pic:nvPicPr>
                  <pic:blipFill>
                    <a:blip r:embed="rId10" cstate="print"/>
                    <a:stretch>
                      <a:fillRect/>
                    </a:stretch>
                  </pic:blipFill>
                  <pic:spPr bwMode="auto">
                    <a:xfrm>
                      <a:off x="0" y="0"/>
                      <a:ext cx="2295935" cy="1721138"/>
                    </a:xfrm>
                    <a:prstGeom prst="rect">
                      <a:avLst/>
                    </a:prstGeom>
                    <a:noFill/>
                    <a:ln w="9525">
                      <a:noFill/>
                      <a:miter lim="800000"/>
                      <a:headEnd/>
                      <a:tailEnd/>
                    </a:ln>
                  </pic:spPr>
                </pic:pic>
              </a:graphicData>
            </a:graphic>
          </wp:inline>
        </w:drawing>
      </w:r>
    </w:p>
    <w:p w:rsidR="0038049A" w:rsidRDefault="0038049A" w:rsidP="0038049A">
      <w:pPr>
        <w:spacing w:after="0" w:line="240" w:lineRule="auto"/>
        <w:jc w:val="both"/>
      </w:pPr>
    </w:p>
    <w:p w:rsidR="0079313B" w:rsidRDefault="00957D52" w:rsidP="0004015B">
      <w:pPr>
        <w:jc w:val="both"/>
      </w:pPr>
      <w:r>
        <w:t>Se esperaba</w:t>
      </w:r>
      <w:r w:rsidR="0038049A">
        <w:t xml:space="preserve"> que las plántulas </w:t>
      </w:r>
      <w:r w:rsidR="00DB1ECE">
        <w:t>nacieran</w:t>
      </w:r>
      <w:r w:rsidR="0038049A">
        <w:t xml:space="preserve"> en </w:t>
      </w:r>
      <w:r w:rsidR="00DB1ECE">
        <w:t>un lapso aproximado de 1 semana; s</w:t>
      </w:r>
      <w:r>
        <w:t>in embargo, se esperó</w:t>
      </w:r>
      <w:r w:rsidR="004970A8">
        <w:t xml:space="preserve"> tener 9 plántulas de cada especie antes de iniciar los tratamientos experimentales</w:t>
      </w:r>
      <w:r w:rsidR="00DB1ECE">
        <w:t>, debido a que, lue</w:t>
      </w:r>
      <w:r w:rsidR="003F2596">
        <w:t>go de una s</w:t>
      </w:r>
      <w:r w:rsidR="004970A8">
        <w:t>e</w:t>
      </w:r>
      <w:r w:rsidR="003F2596">
        <w:t>mana, se</w:t>
      </w:r>
      <w:r w:rsidR="004970A8">
        <w:t xml:space="preserve"> verificó </w:t>
      </w:r>
      <w:r w:rsidR="00DB1ECE">
        <w:t>que solo habían germinado</w:t>
      </w:r>
      <w:r w:rsidR="004970A8">
        <w:t xml:space="preserve"> ocho plántulas de </w:t>
      </w:r>
      <w:r w:rsidR="004970A8">
        <w:rPr>
          <w:i/>
        </w:rPr>
        <w:t xml:space="preserve">S. oleracea </w:t>
      </w:r>
      <w:r w:rsidR="004970A8">
        <w:t xml:space="preserve">y cuatro de </w:t>
      </w:r>
      <w:r w:rsidR="004970A8">
        <w:rPr>
          <w:i/>
        </w:rPr>
        <w:t>B. vulgaris</w:t>
      </w:r>
      <w:r w:rsidR="0012621C">
        <w:t xml:space="preserve">. Además, se determinó las cantidades de </w:t>
      </w:r>
      <w:proofErr w:type="spellStart"/>
      <w:r w:rsidR="0012621C">
        <w:t>NaCl</w:t>
      </w:r>
      <w:proofErr w:type="spellEnd"/>
      <w:r w:rsidR="0012621C">
        <w:t xml:space="preserve"> necesarias para elevar la salinidad de la </w:t>
      </w:r>
      <w:r w:rsidR="0079313B">
        <w:t xml:space="preserve">solución </w:t>
      </w:r>
      <w:r w:rsidR="0012621C">
        <w:t>nutr</w:t>
      </w:r>
      <w:r w:rsidR="00DB1ECE">
        <w:t xml:space="preserve">itiva, que tiene una salinidad considerada </w:t>
      </w:r>
      <w:r w:rsidR="0012621C">
        <w:t>natural</w:t>
      </w:r>
      <w:r w:rsidR="00DB1ECE">
        <w:t xml:space="preserve"> </w:t>
      </w:r>
      <w:r w:rsidR="0012621C">
        <w:t xml:space="preserve"> aproximada de 2,1 </w:t>
      </w:r>
      <w:r w:rsidR="0012621C">
        <w:sym w:font="Symbol" w:char="F07E"/>
      </w:r>
      <w:r w:rsidR="0012621C">
        <w:t xml:space="preserve"> 2,2 dS/m</w:t>
      </w:r>
      <w:r w:rsidR="00DB1ECE">
        <w:t xml:space="preserve"> (Rodríguez, comunicación personal)</w:t>
      </w:r>
      <w:r w:rsidR="0012621C">
        <w:t>, hasta los valores deseados para los tratamientos</w:t>
      </w:r>
      <w:r w:rsidR="00352025">
        <w:t xml:space="preserve">. Se concluyó que los valores requeridos para </w:t>
      </w:r>
      <w:r w:rsidR="00860814">
        <w:t xml:space="preserve">elevar </w:t>
      </w:r>
      <w:r w:rsidR="0079313B">
        <w:t xml:space="preserve">la conductividad eléctrica de un litro de solución nutritiva hasta 3 y 3,5 dS/m </w:t>
      </w:r>
      <w:r w:rsidR="00207FCF">
        <w:t>son</w:t>
      </w:r>
      <w:r w:rsidR="0079313B">
        <w:t>, respectivamente, 8 y 14 m</w:t>
      </w:r>
      <w:r w:rsidR="00207FCF">
        <w:t>ili</w:t>
      </w:r>
      <w:r w:rsidR="0079313B">
        <w:t xml:space="preserve">moles </w:t>
      </w:r>
      <w:r w:rsidR="003F2596">
        <w:t xml:space="preserve">por litro </w:t>
      </w:r>
      <w:r w:rsidR="0079313B">
        <w:t>(</w:t>
      </w:r>
      <w:proofErr w:type="spellStart"/>
      <w:r w:rsidR="0079313B">
        <w:t>mmol</w:t>
      </w:r>
      <w:proofErr w:type="spellEnd"/>
      <w:r w:rsidR="003F2596">
        <w:t>/l</w:t>
      </w:r>
      <w:r w:rsidR="0079313B">
        <w:t>).</w:t>
      </w:r>
    </w:p>
    <w:p w:rsidR="009861C8" w:rsidRDefault="002D6B29" w:rsidP="000B2895">
      <w:pPr>
        <w:spacing w:line="360" w:lineRule="auto"/>
        <w:jc w:val="center"/>
      </w:pPr>
      <w:r w:rsidRPr="002D6B29">
        <w:rPr>
          <w:b/>
          <w:noProof/>
          <w:sz w:val="28"/>
          <w:u w:val="single"/>
          <w:lang w:eastAsia="es-ES"/>
        </w:rPr>
        <w:lastRenderedPageBreak/>
        <w:pict>
          <v:shape id="_x0000_s1028" type="#_x0000_t202" style="position:absolute;left:0;text-align:left;margin-left:38.2pt;margin-top:132pt;width:371.75pt;height:18.75pt;z-index:251662336;mso-width-relative:margin;mso-height-relative:margin" filled="f" stroked="f" strokecolor="black [3213]">
            <v:textbox style="mso-next-textbox:#_x0000_s1028">
              <w:txbxContent>
                <w:p w:rsidR="003C71AD" w:rsidRPr="009861C8" w:rsidRDefault="003C71AD" w:rsidP="00EB1862">
                  <w:pPr>
                    <w:rPr>
                      <w:sz w:val="16"/>
                      <w:szCs w:val="18"/>
                    </w:rPr>
                  </w:pPr>
                  <w:r>
                    <w:rPr>
                      <w:sz w:val="16"/>
                      <w:szCs w:val="18"/>
                    </w:rPr>
                    <w:t>De izquierda a derecha: f</w:t>
                  </w:r>
                  <w:r w:rsidRPr="009861C8">
                    <w:rPr>
                      <w:sz w:val="16"/>
                      <w:szCs w:val="18"/>
                    </w:rPr>
                    <w:t xml:space="preserve">igura </w:t>
                  </w:r>
                  <w:r>
                    <w:rPr>
                      <w:sz w:val="16"/>
                      <w:szCs w:val="18"/>
                    </w:rPr>
                    <w:t>1.</w:t>
                  </w:r>
                  <w:r w:rsidRPr="009861C8">
                    <w:rPr>
                      <w:sz w:val="16"/>
                      <w:szCs w:val="18"/>
                    </w:rPr>
                    <w:t>3: Supervisando las plántulas</w:t>
                  </w:r>
                  <w:r>
                    <w:rPr>
                      <w:sz w:val="16"/>
                      <w:szCs w:val="18"/>
                    </w:rPr>
                    <w:t>. F</w:t>
                  </w:r>
                  <w:r w:rsidRPr="009861C8">
                    <w:rPr>
                      <w:sz w:val="16"/>
                      <w:szCs w:val="18"/>
                    </w:rPr>
                    <w:t>igura</w:t>
                  </w:r>
                  <w:r>
                    <w:rPr>
                      <w:sz w:val="16"/>
                      <w:szCs w:val="18"/>
                    </w:rPr>
                    <w:t xml:space="preserve">s 1.4 y 1.5: cotiledones de </w:t>
                  </w:r>
                  <w:r>
                    <w:rPr>
                      <w:i/>
                      <w:sz w:val="16"/>
                      <w:szCs w:val="18"/>
                    </w:rPr>
                    <w:t>S. oleracea</w:t>
                  </w:r>
                  <w:r>
                    <w:rPr>
                      <w:sz w:val="16"/>
                      <w:szCs w:val="18"/>
                    </w:rPr>
                    <w:t>.</w:t>
                  </w:r>
                </w:p>
                <w:p w:rsidR="003C71AD" w:rsidRPr="009861C8" w:rsidRDefault="003C71AD" w:rsidP="00EB1862">
                  <w:pPr>
                    <w:rPr>
                      <w:sz w:val="16"/>
                      <w:szCs w:val="18"/>
                    </w:rPr>
                  </w:pPr>
                  <w:r w:rsidRPr="009861C8">
                    <w:rPr>
                      <w:sz w:val="16"/>
                      <w:szCs w:val="18"/>
                    </w:rPr>
                    <w:t>Figuras</w:t>
                  </w:r>
                </w:p>
                <w:p w:rsidR="003C71AD" w:rsidRPr="009861C8" w:rsidRDefault="003C71AD" w:rsidP="00EB1862">
                  <w:pPr>
                    <w:rPr>
                      <w:sz w:val="16"/>
                      <w:szCs w:val="18"/>
                    </w:rPr>
                  </w:pPr>
                </w:p>
              </w:txbxContent>
            </v:textbox>
          </v:shape>
        </w:pict>
      </w:r>
      <w:r w:rsidR="009861C8">
        <w:rPr>
          <w:noProof/>
          <w:lang w:val="es-PE" w:eastAsia="es-PE"/>
        </w:rPr>
        <w:drawing>
          <wp:inline distT="0" distB="0" distL="0" distR="0">
            <wp:extent cx="2229486" cy="1670792"/>
            <wp:effectExtent l="19050" t="0" r="0" b="0"/>
            <wp:docPr id="5" name="Imagen 1" descr="C:\Documents and Settings\Administrator\Escritorio\EAMN\Imagen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Escritorio\EAMN\Imagen 3°1.JPG"/>
                    <pic:cNvPicPr>
                      <a:picLocks noChangeAspect="1" noChangeArrowheads="1"/>
                    </pic:cNvPicPr>
                  </pic:nvPicPr>
                  <pic:blipFill>
                    <a:blip r:embed="rId11" cstate="print"/>
                    <a:srcRect/>
                    <a:stretch>
                      <a:fillRect/>
                    </a:stretch>
                  </pic:blipFill>
                  <pic:spPr bwMode="auto">
                    <a:xfrm>
                      <a:off x="0" y="0"/>
                      <a:ext cx="2229269" cy="1670630"/>
                    </a:xfrm>
                    <a:prstGeom prst="rect">
                      <a:avLst/>
                    </a:prstGeom>
                    <a:noFill/>
                    <a:ln w="9525">
                      <a:noFill/>
                      <a:miter lim="800000"/>
                      <a:headEnd/>
                      <a:tailEnd/>
                    </a:ln>
                  </pic:spPr>
                </pic:pic>
              </a:graphicData>
            </a:graphic>
          </wp:inline>
        </w:drawing>
      </w:r>
      <w:r w:rsidR="009861C8">
        <w:rPr>
          <w:noProof/>
          <w:lang w:val="es-PE" w:eastAsia="es-PE"/>
        </w:rPr>
        <w:drawing>
          <wp:inline distT="0" distB="0" distL="0" distR="0">
            <wp:extent cx="2249170" cy="1685886"/>
            <wp:effectExtent l="19050" t="0" r="0" b="0"/>
            <wp:docPr id="4" name="Imagen 3" descr="C:\Documents and Settings\Administrator\Escritorio\EAMN\Imagen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Escritorio\EAMN\Imagen 3°3.JPG"/>
                    <pic:cNvPicPr>
                      <a:picLocks noChangeAspect="1" noChangeArrowheads="1"/>
                    </pic:cNvPicPr>
                  </pic:nvPicPr>
                  <pic:blipFill>
                    <a:blip r:embed="rId12" cstate="print"/>
                    <a:srcRect/>
                    <a:stretch>
                      <a:fillRect/>
                    </a:stretch>
                  </pic:blipFill>
                  <pic:spPr bwMode="auto">
                    <a:xfrm>
                      <a:off x="0" y="0"/>
                      <a:ext cx="2249032" cy="1685783"/>
                    </a:xfrm>
                    <a:prstGeom prst="rect">
                      <a:avLst/>
                    </a:prstGeom>
                    <a:noFill/>
                    <a:ln w="9525">
                      <a:noFill/>
                      <a:miter lim="800000"/>
                      <a:headEnd/>
                      <a:tailEnd/>
                    </a:ln>
                  </pic:spPr>
                </pic:pic>
              </a:graphicData>
            </a:graphic>
          </wp:inline>
        </w:drawing>
      </w:r>
    </w:p>
    <w:p w:rsidR="009861C8" w:rsidRDefault="009861C8" w:rsidP="009861C8">
      <w:pPr>
        <w:jc w:val="center"/>
      </w:pPr>
      <w:r>
        <w:rPr>
          <w:noProof/>
          <w:lang w:val="es-PE" w:eastAsia="es-PE"/>
        </w:rPr>
        <w:drawing>
          <wp:inline distT="0" distB="0" distL="0" distR="0">
            <wp:extent cx="2343150" cy="1657350"/>
            <wp:effectExtent l="19050" t="0" r="0" b="0"/>
            <wp:docPr id="2" name="Imagen 2" descr="C:\Documents and Settings\Administrator\Escritorio\EAMN\Imagen 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Escritorio\EAMN\Imagen 3°2.JPG"/>
                    <pic:cNvPicPr preferRelativeResize="0">
                      <a:picLocks noChangeAspect="1" noChangeArrowheads="1"/>
                    </pic:cNvPicPr>
                  </pic:nvPicPr>
                  <pic:blipFill>
                    <a:blip r:embed="rId13" cstate="print"/>
                    <a:srcRect/>
                    <a:stretch>
                      <a:fillRect/>
                    </a:stretch>
                  </pic:blipFill>
                  <pic:spPr bwMode="auto">
                    <a:xfrm>
                      <a:off x="0" y="0"/>
                      <a:ext cx="2343677" cy="1657723"/>
                    </a:xfrm>
                    <a:prstGeom prst="rect">
                      <a:avLst/>
                    </a:prstGeom>
                    <a:noFill/>
                    <a:ln w="9525">
                      <a:noFill/>
                      <a:miter lim="800000"/>
                      <a:headEnd/>
                      <a:tailEnd/>
                    </a:ln>
                  </pic:spPr>
                </pic:pic>
              </a:graphicData>
            </a:graphic>
          </wp:inline>
        </w:drawing>
      </w:r>
    </w:p>
    <w:p w:rsidR="00957D52" w:rsidRDefault="00957D52" w:rsidP="00A00215">
      <w:pPr>
        <w:jc w:val="both"/>
      </w:pPr>
      <w:r>
        <w:t xml:space="preserve">Luego de 5 semanas de riego se obtuvieron plantas estresadas que podían ser evaluadas. Así, se observó el contenido de clorofila en todos los tratamientos y se evaluó la cantidad de nitrato reductasa en las plantas de </w:t>
      </w:r>
      <w:r>
        <w:rPr>
          <w:i/>
        </w:rPr>
        <w:t>B. vulgaris</w:t>
      </w:r>
      <w:r>
        <w:t>.</w:t>
      </w:r>
    </w:p>
    <w:p w:rsidR="00044E38" w:rsidRPr="000233B1" w:rsidRDefault="00207FCF" w:rsidP="00D566BE">
      <w:pPr>
        <w:jc w:val="both"/>
      </w:pPr>
      <w:r>
        <w:rPr>
          <w:i/>
        </w:rPr>
        <w:t>Sobre las clorofilas en plantas estres</w:t>
      </w:r>
      <w:r w:rsidR="00A747F6">
        <w:rPr>
          <w:i/>
        </w:rPr>
        <w:t>a</w:t>
      </w:r>
      <w:r>
        <w:rPr>
          <w:i/>
        </w:rPr>
        <w:t>das y la evaluación</w:t>
      </w:r>
      <w:r w:rsidR="00957D52">
        <w:rPr>
          <w:i/>
        </w:rPr>
        <w:t xml:space="preserve"> </w:t>
      </w:r>
      <w:r>
        <w:rPr>
          <w:i/>
        </w:rPr>
        <w:t>d</w:t>
      </w:r>
      <w:r w:rsidR="00957D52">
        <w:rPr>
          <w:i/>
        </w:rPr>
        <w:t>el contenido de clorofilas</w:t>
      </w:r>
      <w:r w:rsidR="00957D52">
        <w:t xml:space="preserve">: </w:t>
      </w:r>
      <w:r w:rsidR="00A747F6">
        <w:t xml:space="preserve">Numerosos estudios que comparan la concentración total de clorofilas, así como la razón entre clorofilas a y b dan constancia de que la planta reacciona efectivamente alterando su fisiología de fotosíntesis. Modelos para estos ensayos son </w:t>
      </w:r>
      <w:r w:rsidR="00A747F6">
        <w:rPr>
          <w:i/>
        </w:rPr>
        <w:t xml:space="preserve">Phaseolus </w:t>
      </w:r>
      <w:r w:rsidR="00A747F6" w:rsidRPr="00A747F6">
        <w:rPr>
          <w:i/>
        </w:rPr>
        <w:t>vulgaris</w:t>
      </w:r>
      <w:r w:rsidR="00A747F6">
        <w:t xml:space="preserve">, </w:t>
      </w:r>
      <w:r w:rsidR="00A747F6">
        <w:rPr>
          <w:i/>
        </w:rPr>
        <w:t xml:space="preserve">Lactuca </w:t>
      </w:r>
      <w:r w:rsidR="00A747F6" w:rsidRPr="00A747F6">
        <w:rPr>
          <w:i/>
        </w:rPr>
        <w:t>sativa</w:t>
      </w:r>
      <w:r w:rsidR="00A747F6">
        <w:t>, y muchas veces presentan resultados disímiles</w:t>
      </w:r>
      <w:r w:rsidR="00044E38">
        <w:t xml:space="preserve"> para un mismo estudio: González</w:t>
      </w:r>
      <w:r w:rsidR="00A747F6">
        <w:t xml:space="preserve">, </w:t>
      </w:r>
      <w:proofErr w:type="spellStart"/>
      <w:r w:rsidR="00A747F6">
        <w:t>Pastenes</w:t>
      </w:r>
      <w:proofErr w:type="spellEnd"/>
      <w:r w:rsidR="00A747F6">
        <w:t xml:space="preserve"> y </w:t>
      </w:r>
      <w:proofErr w:type="spellStart"/>
      <w:r w:rsidR="00A747F6">
        <w:t>Horton</w:t>
      </w:r>
      <w:proofErr w:type="spellEnd"/>
      <w:r w:rsidR="00A747F6">
        <w:t xml:space="preserve"> (2001) reportaron para diferentes variedades de frejol comportamientos </w:t>
      </w:r>
      <w:r w:rsidR="00611866">
        <w:t>diferentes:</w:t>
      </w:r>
      <w:r w:rsidR="00A747F6">
        <w:t xml:space="preserve"> mientras que unos aumentaban su clorofila total, otros cultivares la disminuían. </w:t>
      </w:r>
      <w:r w:rsidR="00611866">
        <w:t>De cualquier modo, se puede observar la tendencia a</w:t>
      </w:r>
      <w:r w:rsidR="005654C0">
        <w:t>l aumento de clorofila b con respecto a la a, disminuyendo la proporción a/b</w:t>
      </w:r>
      <w:r w:rsidR="00044E38">
        <w:t xml:space="preserve"> (González et al, loc. cit.; </w:t>
      </w:r>
      <w:proofErr w:type="spellStart"/>
      <w:r w:rsidR="00044E38">
        <w:t>Masalías</w:t>
      </w:r>
      <w:proofErr w:type="spellEnd"/>
      <w:r w:rsidR="00044E38">
        <w:t xml:space="preserve">, del Río, Martínez, </w:t>
      </w:r>
      <w:proofErr w:type="spellStart"/>
      <w:r w:rsidR="00044E38">
        <w:t>Dasnoy</w:t>
      </w:r>
      <w:proofErr w:type="spellEnd"/>
      <w:r w:rsidR="00044E38">
        <w:t>, s. d.)</w:t>
      </w:r>
      <w:r w:rsidR="005654C0">
        <w:t>.</w:t>
      </w:r>
      <w:r w:rsidR="003F2596">
        <w:t xml:space="preserve"> Además e</w:t>
      </w:r>
      <w:r w:rsidR="00044E38">
        <w:t xml:space="preserve">s interesante observar que </w:t>
      </w:r>
      <w:proofErr w:type="spellStart"/>
      <w:r w:rsidR="00044E38">
        <w:t>Masalías</w:t>
      </w:r>
      <w:proofErr w:type="spellEnd"/>
      <w:r w:rsidR="00044E38">
        <w:t xml:space="preserve"> et. al. </w:t>
      </w:r>
      <w:proofErr w:type="gramStart"/>
      <w:r w:rsidR="00044E38">
        <w:t>reportan</w:t>
      </w:r>
      <w:proofErr w:type="gramEnd"/>
      <w:r w:rsidR="00044E38">
        <w:t xml:space="preserve"> valores crecientes de concentración de clorofila conforme el estrés es más severo</w:t>
      </w:r>
      <w:r w:rsidR="000233B1">
        <w:t xml:space="preserve">, para </w:t>
      </w:r>
      <w:r w:rsidR="000233B1">
        <w:rPr>
          <w:i/>
        </w:rPr>
        <w:t>S</w:t>
      </w:r>
      <w:r w:rsidR="000233B1">
        <w:t xml:space="preserve">. </w:t>
      </w:r>
      <w:r w:rsidR="000233B1">
        <w:rPr>
          <w:i/>
        </w:rPr>
        <w:t>oleracea</w:t>
      </w:r>
      <w:r w:rsidR="00D566BE">
        <w:t>, lo que sienta pautas para los resultados de este experimento</w:t>
      </w:r>
    </w:p>
    <w:p w:rsidR="00A00215" w:rsidRPr="00A00215" w:rsidRDefault="00D566BE" w:rsidP="00A00215">
      <w:pPr>
        <w:jc w:val="both"/>
        <w:rPr>
          <w:lang w:val="es-PE"/>
        </w:rPr>
      </w:pPr>
      <w:r>
        <w:rPr>
          <w:i/>
        </w:rPr>
        <w:t>Metodología</w:t>
      </w:r>
      <w:r w:rsidRPr="00D566BE">
        <w:t xml:space="preserve">: </w:t>
      </w:r>
      <w:r w:rsidR="005654C0">
        <w:t xml:space="preserve">Para </w:t>
      </w:r>
      <w:r w:rsidR="00957D52" w:rsidRPr="00A747F6">
        <w:t>e</w:t>
      </w:r>
      <w:r w:rsidR="005654C0">
        <w:t>l presente ensayo se</w:t>
      </w:r>
      <w:r w:rsidR="00957D52">
        <w:t xml:space="preserve"> empleó la metodología de </w:t>
      </w:r>
      <w:proofErr w:type="spellStart"/>
      <w:r w:rsidR="00957D52">
        <w:t>Lichtenthaler</w:t>
      </w:r>
      <w:proofErr w:type="spellEnd"/>
      <w:r w:rsidR="00957D52">
        <w:t xml:space="preserve"> y </w:t>
      </w:r>
      <w:proofErr w:type="spellStart"/>
      <w:r w:rsidR="00957D52">
        <w:t>Welburn</w:t>
      </w:r>
      <w:proofErr w:type="spellEnd"/>
      <w:r w:rsidR="00957D52">
        <w:t xml:space="preserve"> (1983</w:t>
      </w:r>
      <w:r w:rsidR="00957D52" w:rsidRPr="00A00215">
        <w:rPr>
          <w:lang w:val="es-PE"/>
        </w:rPr>
        <w:t xml:space="preserve">, citados por </w:t>
      </w:r>
      <w:proofErr w:type="spellStart"/>
      <w:r w:rsidR="00957D52" w:rsidRPr="00A00215">
        <w:rPr>
          <w:lang w:val="es-PE"/>
        </w:rPr>
        <w:t>Saupe</w:t>
      </w:r>
      <w:proofErr w:type="spellEnd"/>
      <w:r w:rsidR="00957D52" w:rsidRPr="00A00215">
        <w:rPr>
          <w:lang w:val="es-PE"/>
        </w:rPr>
        <w:t xml:space="preserve">, 2009) </w:t>
      </w:r>
      <w:r w:rsidR="00A00215" w:rsidRPr="00A00215">
        <w:rPr>
          <w:lang w:val="es-PE"/>
        </w:rPr>
        <w:t>modificada</w:t>
      </w:r>
      <w:r w:rsidR="00EB1862">
        <w:rPr>
          <w:lang w:val="es-PE"/>
        </w:rPr>
        <w:t xml:space="preserve"> a las condiciones locales</w:t>
      </w:r>
      <w:r w:rsidR="00A00215" w:rsidRPr="00A00215">
        <w:rPr>
          <w:lang w:val="es-PE"/>
        </w:rPr>
        <w:t xml:space="preserve">, </w:t>
      </w:r>
      <w:r w:rsidR="00957D52" w:rsidRPr="00A00215">
        <w:rPr>
          <w:lang w:val="es-PE"/>
        </w:rPr>
        <w:t>que consiste en la extracción</w:t>
      </w:r>
      <w:r w:rsidR="00A00215" w:rsidRPr="00A00215">
        <w:rPr>
          <w:lang w:val="es-PE"/>
        </w:rPr>
        <w:t xml:space="preserve"> de clorofilas empleando acetona al 80%, para luego evaluar la absorbancia de la solución en un espectrofotómetro de espectro visible a 663 y 443 nm (a diferencia del procedimiento original que emplea 445 nm). Además, si el valor recabado supera a 1, se disuelve toda la serie en acetona al 80% en una proporción 1:4 hasta alcanzar los valores iguales o menores que uno. Esta disolución se hizo dos veces en el presente experimento, para todos los bloques. </w:t>
      </w:r>
      <w:r w:rsidR="00DF12D8">
        <w:rPr>
          <w:lang w:val="es-PE"/>
        </w:rPr>
        <w:t xml:space="preserve">Cabe destacar que los protocolos conseguidos también estipulan métodos de medición de carotenoides y antocianinas, que no son evaluados por no ser relevantes en </w:t>
      </w:r>
      <w:r w:rsidR="00DF12D8">
        <w:rPr>
          <w:lang w:val="es-PE"/>
        </w:rPr>
        <w:lastRenderedPageBreak/>
        <w:t xml:space="preserve">este ensayo. </w:t>
      </w:r>
      <w:r w:rsidR="00A00215" w:rsidRPr="00A00215">
        <w:rPr>
          <w:lang w:val="es-PE"/>
        </w:rPr>
        <w:t>Finalmente, con los valores obtenidos se aplica las fórmulas</w:t>
      </w:r>
      <w:r w:rsidR="00EB1862">
        <w:rPr>
          <w:lang w:val="es-PE"/>
        </w:rPr>
        <w:t xml:space="preserve"> estipuladas en el protocolo a seguir</w:t>
      </w:r>
      <w:r w:rsidR="00DF12D8">
        <w:rPr>
          <w:lang w:val="es-PE"/>
        </w:rPr>
        <w:t xml:space="preserve"> (v. Anexo 1)</w:t>
      </w:r>
      <w:r w:rsidR="00A00215" w:rsidRPr="00A00215">
        <w:rPr>
          <w:lang w:val="es-PE"/>
        </w:rPr>
        <w:t>:</w:t>
      </w:r>
    </w:p>
    <w:p w:rsidR="004E513A" w:rsidRPr="00207FCF" w:rsidRDefault="00A00215" w:rsidP="00A00215">
      <w:pPr>
        <w:jc w:val="center"/>
        <w:rPr>
          <w:snapToGrid w:val="0"/>
          <w:color w:val="008000"/>
          <w:szCs w:val="20"/>
          <w:lang w:val="es-PE"/>
        </w:rPr>
      </w:pPr>
      <w:r w:rsidRPr="00207FCF">
        <w:rPr>
          <w:snapToGrid w:val="0"/>
          <w:color w:val="008000"/>
          <w:szCs w:val="20"/>
          <w:lang w:val="es-PE"/>
        </w:rPr>
        <w:t xml:space="preserve">Clorofila </w:t>
      </w:r>
      <w:r w:rsidRPr="00207FCF">
        <w:rPr>
          <w:bCs/>
          <w:snapToGrid w:val="0"/>
          <w:color w:val="008000"/>
          <w:szCs w:val="20"/>
          <w:lang w:val="es-PE"/>
        </w:rPr>
        <w:t>a</w:t>
      </w:r>
      <w:r w:rsidRPr="00207FCF">
        <w:rPr>
          <w:snapToGrid w:val="0"/>
          <w:color w:val="008000"/>
          <w:szCs w:val="20"/>
          <w:lang w:val="es-PE"/>
        </w:rPr>
        <w:t xml:space="preserve"> (µg/ml) = 12.21 (A</w:t>
      </w:r>
      <w:r w:rsidRPr="00207FCF">
        <w:rPr>
          <w:snapToGrid w:val="0"/>
          <w:color w:val="008000"/>
          <w:szCs w:val="20"/>
          <w:vertAlign w:val="subscript"/>
          <w:lang w:val="es-PE"/>
        </w:rPr>
        <w:t>663</w:t>
      </w:r>
      <w:r w:rsidRPr="00207FCF">
        <w:rPr>
          <w:snapToGrid w:val="0"/>
          <w:color w:val="008000"/>
          <w:szCs w:val="20"/>
          <w:lang w:val="es-PE"/>
        </w:rPr>
        <w:t xml:space="preserve">) </w:t>
      </w:r>
      <w:r w:rsidR="00DF12D8" w:rsidRPr="00207FCF">
        <w:rPr>
          <w:snapToGrid w:val="0"/>
          <w:color w:val="008000"/>
          <w:szCs w:val="20"/>
          <w:lang w:val="es-PE"/>
        </w:rPr>
        <w:t>–</w:t>
      </w:r>
      <w:r w:rsidRPr="00207FCF">
        <w:rPr>
          <w:snapToGrid w:val="0"/>
          <w:color w:val="008000"/>
          <w:szCs w:val="20"/>
          <w:lang w:val="es-PE"/>
        </w:rPr>
        <w:t xml:space="preserve"> 2.81 (A</w:t>
      </w:r>
      <w:r w:rsidRPr="00207FCF">
        <w:rPr>
          <w:snapToGrid w:val="0"/>
          <w:color w:val="008000"/>
          <w:szCs w:val="20"/>
          <w:vertAlign w:val="subscript"/>
          <w:lang w:val="es-PE"/>
        </w:rPr>
        <w:t>646</w:t>
      </w:r>
      <w:r w:rsidRPr="00207FCF">
        <w:rPr>
          <w:snapToGrid w:val="0"/>
          <w:color w:val="008000"/>
          <w:szCs w:val="20"/>
          <w:lang w:val="es-PE"/>
        </w:rPr>
        <w:t>)</w:t>
      </w:r>
      <w:r w:rsidRPr="00207FCF">
        <w:rPr>
          <w:snapToGrid w:val="0"/>
          <w:color w:val="008000"/>
          <w:szCs w:val="20"/>
          <w:lang w:val="es-PE"/>
        </w:rPr>
        <w:br/>
        <w:t xml:space="preserve">Clorofila </w:t>
      </w:r>
      <w:r w:rsidRPr="00207FCF">
        <w:rPr>
          <w:bCs/>
          <w:snapToGrid w:val="0"/>
          <w:color w:val="008000"/>
          <w:szCs w:val="20"/>
          <w:lang w:val="es-PE"/>
        </w:rPr>
        <w:t>b</w:t>
      </w:r>
      <w:r w:rsidRPr="00207FCF">
        <w:rPr>
          <w:snapToGrid w:val="0"/>
          <w:color w:val="008000"/>
          <w:szCs w:val="20"/>
          <w:lang w:val="es-PE"/>
        </w:rPr>
        <w:t xml:space="preserve"> (µg/ml) = 20.13 (A</w:t>
      </w:r>
      <w:r w:rsidRPr="00207FCF">
        <w:rPr>
          <w:snapToGrid w:val="0"/>
          <w:color w:val="008000"/>
          <w:szCs w:val="20"/>
          <w:vertAlign w:val="subscript"/>
          <w:lang w:val="es-PE"/>
        </w:rPr>
        <w:t>646</w:t>
      </w:r>
      <w:r w:rsidRPr="00207FCF">
        <w:rPr>
          <w:snapToGrid w:val="0"/>
          <w:color w:val="008000"/>
          <w:szCs w:val="20"/>
          <w:lang w:val="es-PE"/>
        </w:rPr>
        <w:t xml:space="preserve">) </w:t>
      </w:r>
      <w:r w:rsidR="00DF12D8" w:rsidRPr="00207FCF">
        <w:rPr>
          <w:snapToGrid w:val="0"/>
          <w:color w:val="008000"/>
          <w:szCs w:val="20"/>
          <w:lang w:val="es-PE"/>
        </w:rPr>
        <w:t>–</w:t>
      </w:r>
      <w:r w:rsidRPr="00207FCF">
        <w:rPr>
          <w:snapToGrid w:val="0"/>
          <w:color w:val="008000"/>
          <w:szCs w:val="20"/>
          <w:lang w:val="es-PE"/>
        </w:rPr>
        <w:t xml:space="preserve"> 5.03 (A</w:t>
      </w:r>
      <w:r w:rsidRPr="00207FCF">
        <w:rPr>
          <w:snapToGrid w:val="0"/>
          <w:color w:val="008000"/>
          <w:szCs w:val="20"/>
          <w:vertAlign w:val="subscript"/>
          <w:lang w:val="es-PE"/>
        </w:rPr>
        <w:t>663</w:t>
      </w:r>
      <w:r w:rsidRPr="00207FCF">
        <w:rPr>
          <w:snapToGrid w:val="0"/>
          <w:color w:val="008000"/>
          <w:szCs w:val="20"/>
          <w:lang w:val="es-PE"/>
        </w:rPr>
        <w:t>)</w:t>
      </w:r>
    </w:p>
    <w:p w:rsidR="004E513A" w:rsidRDefault="004E513A" w:rsidP="004E513A">
      <w:pPr>
        <w:jc w:val="both"/>
        <w:rPr>
          <w:snapToGrid w:val="0"/>
          <w:szCs w:val="20"/>
          <w:lang w:val="es-PE"/>
        </w:rPr>
      </w:pPr>
      <w:r>
        <w:rPr>
          <w:snapToGrid w:val="0"/>
          <w:szCs w:val="20"/>
          <w:lang w:val="es-PE"/>
        </w:rPr>
        <w:t>Para la corrección de valores obtenidos, se toman los valores más cercanos entre sí y se promedian, reemplazando a los valores outsiders. Igual corrección se empleará para todos los tratamientos.</w:t>
      </w:r>
    </w:p>
    <w:p w:rsidR="004E513A" w:rsidRDefault="004E513A" w:rsidP="003F2596">
      <w:pPr>
        <w:jc w:val="both"/>
      </w:pPr>
      <w:r>
        <w:rPr>
          <w:i/>
          <w:snapToGrid w:val="0"/>
          <w:szCs w:val="20"/>
          <w:lang w:val="es-PE"/>
        </w:rPr>
        <w:t xml:space="preserve">Sobre el metabolismo del </w:t>
      </w:r>
      <w:r w:rsidRPr="00207FCF">
        <w:rPr>
          <w:i/>
          <w:snapToGrid w:val="0"/>
          <w:szCs w:val="20"/>
          <w:lang w:val="es-PE"/>
        </w:rPr>
        <w:t>nitrógeno</w:t>
      </w:r>
      <w:r w:rsidR="005E6C04" w:rsidRPr="00207FCF">
        <w:rPr>
          <w:i/>
          <w:snapToGrid w:val="0"/>
          <w:szCs w:val="20"/>
          <w:lang w:val="es-PE"/>
        </w:rPr>
        <w:t xml:space="preserve"> (modificado de la Facultad de Agronomía de la Universidad de la República</w:t>
      </w:r>
      <w:r w:rsidR="00031F01">
        <w:rPr>
          <w:i/>
          <w:snapToGrid w:val="0"/>
          <w:szCs w:val="20"/>
          <w:lang w:val="es-PE"/>
        </w:rPr>
        <w:t xml:space="preserve"> </w:t>
      </w:r>
      <w:r w:rsidR="00031F01">
        <w:rPr>
          <w:snapToGrid w:val="0"/>
          <w:szCs w:val="20"/>
          <w:lang w:val="es-PE"/>
        </w:rPr>
        <w:t xml:space="preserve">[Díaz et al., 2004; </w:t>
      </w:r>
      <w:proofErr w:type="spellStart"/>
      <w:r w:rsidR="00031F01">
        <w:rPr>
          <w:snapToGrid w:val="0"/>
          <w:szCs w:val="20"/>
          <w:lang w:val="es-PE"/>
        </w:rPr>
        <w:t>Monza</w:t>
      </w:r>
      <w:proofErr w:type="spellEnd"/>
      <w:r w:rsidR="00031F01">
        <w:rPr>
          <w:snapToGrid w:val="0"/>
          <w:szCs w:val="20"/>
          <w:lang w:val="es-PE"/>
        </w:rPr>
        <w:t xml:space="preserve"> </w:t>
      </w:r>
      <w:r w:rsidR="00F9566C">
        <w:rPr>
          <w:snapToGrid w:val="0"/>
          <w:szCs w:val="20"/>
          <w:lang w:val="es-PE"/>
        </w:rPr>
        <w:t xml:space="preserve">s. d., </w:t>
      </w:r>
      <w:proofErr w:type="spellStart"/>
      <w:r w:rsidR="00E32E52">
        <w:rPr>
          <w:snapToGrid w:val="0"/>
          <w:szCs w:val="20"/>
          <w:lang w:val="es-PE"/>
        </w:rPr>
        <w:t>Viega</w:t>
      </w:r>
      <w:proofErr w:type="spellEnd"/>
      <w:r w:rsidR="00E32E52">
        <w:rPr>
          <w:snapToGrid w:val="0"/>
          <w:szCs w:val="20"/>
          <w:lang w:val="es-PE"/>
        </w:rPr>
        <w:t xml:space="preserve"> et al.</w:t>
      </w:r>
      <w:r w:rsidR="00F9566C">
        <w:rPr>
          <w:snapToGrid w:val="0"/>
          <w:szCs w:val="20"/>
          <w:lang w:val="es-PE"/>
        </w:rPr>
        <w:t>, s. d.</w:t>
      </w:r>
      <w:r w:rsidR="00031F01">
        <w:rPr>
          <w:snapToGrid w:val="0"/>
          <w:szCs w:val="20"/>
          <w:lang w:val="es-PE"/>
        </w:rPr>
        <w:t>]</w:t>
      </w:r>
      <w:r w:rsidR="005E6C04" w:rsidRPr="00207FCF">
        <w:rPr>
          <w:i/>
          <w:snapToGrid w:val="0"/>
          <w:szCs w:val="20"/>
          <w:lang w:val="es-PE"/>
        </w:rPr>
        <w:t>)</w:t>
      </w:r>
      <w:r w:rsidRPr="00207FCF">
        <w:rPr>
          <w:i/>
          <w:snapToGrid w:val="0"/>
          <w:szCs w:val="20"/>
          <w:lang w:val="es-PE"/>
        </w:rPr>
        <w:t xml:space="preserve"> y </w:t>
      </w:r>
      <w:r>
        <w:rPr>
          <w:i/>
          <w:snapToGrid w:val="0"/>
          <w:szCs w:val="20"/>
          <w:lang w:val="es-PE"/>
        </w:rPr>
        <w:t>la evaluación de la nitrato reductasa</w:t>
      </w:r>
      <w:r>
        <w:rPr>
          <w:snapToGrid w:val="0"/>
          <w:szCs w:val="20"/>
          <w:lang w:val="es-PE"/>
        </w:rPr>
        <w:t xml:space="preserve">: </w:t>
      </w:r>
      <w:r>
        <w:t>Las plantas absorben NO</w:t>
      </w:r>
      <w:r>
        <w:rPr>
          <w:sz w:val="14"/>
          <w:szCs w:val="14"/>
        </w:rPr>
        <w:t xml:space="preserve">3  </w:t>
      </w:r>
      <w:r>
        <w:t>desde el suelo y son capaces de mantener concentraciones mayores de este ion en sus células o en la savia del xilema. Para esto, el N</w:t>
      </w:r>
      <w:r w:rsidRPr="009943A0">
        <w:t>O</w:t>
      </w:r>
      <w:r w:rsidRPr="009943A0">
        <w:rPr>
          <w:szCs w:val="14"/>
          <w:vertAlign w:val="subscript"/>
        </w:rPr>
        <w:t>3</w:t>
      </w:r>
      <w:r w:rsidRPr="009943A0">
        <w:rPr>
          <w:sz w:val="14"/>
          <w:szCs w:val="14"/>
        </w:rPr>
        <w:t xml:space="preserve">  </w:t>
      </w:r>
      <w:r>
        <w:t>atraviesa la membrana plasmática de las células epiteliales de la raíz mediante transportadores específicos con gasto de ATP. En la mayoría de las plantas existen dos tipos de transportadores; los constitutivos con una K</w:t>
      </w:r>
      <w:r w:rsidRPr="009943A0">
        <w:rPr>
          <w:szCs w:val="14"/>
          <w:vertAlign w:val="subscript"/>
        </w:rPr>
        <w:t>M</w:t>
      </w:r>
      <w:r w:rsidR="000B2895" w:rsidRPr="000B2895">
        <w:rPr>
          <w:rStyle w:val="Refdenotaalpie"/>
          <w:color w:val="FF0000"/>
          <w:szCs w:val="14"/>
        </w:rPr>
        <w:footnoteReference w:id="1"/>
      </w:r>
      <w:r>
        <w:rPr>
          <w:sz w:val="14"/>
          <w:szCs w:val="14"/>
        </w:rPr>
        <w:t xml:space="preserve"> </w:t>
      </w:r>
      <w:r>
        <w:t>alta para el NO</w:t>
      </w:r>
      <w:r w:rsidRPr="009943A0">
        <w:rPr>
          <w:szCs w:val="14"/>
          <w:vertAlign w:val="subscript"/>
        </w:rPr>
        <w:t>3</w:t>
      </w:r>
      <w:r>
        <w:t>, y los inducibles con una K</w:t>
      </w:r>
      <w:r w:rsidRPr="009943A0">
        <w:rPr>
          <w:szCs w:val="14"/>
          <w:vertAlign w:val="subscript"/>
        </w:rPr>
        <w:t>M</w:t>
      </w:r>
      <w:r>
        <w:rPr>
          <w:sz w:val="14"/>
          <w:szCs w:val="14"/>
        </w:rPr>
        <w:t xml:space="preserve"> </w:t>
      </w:r>
      <w:r>
        <w:t>baja: son transportadores de baja y alta afinidad respectivamente. Una evidencia acerca de la existencia de transportadores inducibles por el NO</w:t>
      </w:r>
      <w:r w:rsidRPr="009943A0">
        <w:rPr>
          <w:vertAlign w:val="subscript"/>
        </w:rPr>
        <w:t>3</w:t>
      </w:r>
      <w:r>
        <w:t>, es que la absorción de este ion desciende en presencia de inhibidores de la síntesis proteica. El transporte de NO</w:t>
      </w:r>
      <w:r w:rsidRPr="009943A0">
        <w:rPr>
          <w:vertAlign w:val="subscript"/>
        </w:rPr>
        <w:t>3</w:t>
      </w:r>
      <w:r>
        <w:rPr>
          <w:sz w:val="14"/>
          <w:szCs w:val="14"/>
        </w:rPr>
        <w:t xml:space="preserve"> </w:t>
      </w:r>
      <w:r>
        <w:t>es dependiente de ATP, por lo que decrece con bajas presiones de O</w:t>
      </w:r>
      <w:r w:rsidRPr="009943A0">
        <w:rPr>
          <w:szCs w:val="14"/>
          <w:vertAlign w:val="subscript"/>
        </w:rPr>
        <w:t>2</w:t>
      </w:r>
      <w:r>
        <w:rPr>
          <w:sz w:val="14"/>
          <w:szCs w:val="14"/>
        </w:rPr>
        <w:t xml:space="preserve"> </w:t>
      </w:r>
      <w:r>
        <w:t>en el entorno radicular, así como en presencia de inhibidores o desacopladores de cadena respiratoria.</w:t>
      </w:r>
    </w:p>
    <w:p w:rsidR="003F2596" w:rsidRDefault="004E513A" w:rsidP="003F2596">
      <w:pPr>
        <w:jc w:val="both"/>
        <w:rPr>
          <w:noProof/>
          <w:lang w:val="es-PE" w:eastAsia="es-PE"/>
        </w:rPr>
      </w:pPr>
      <w:r>
        <w:rPr>
          <w:rFonts w:eastAsia="ArialNarrow" w:cs="ArialNarrow"/>
        </w:rPr>
        <w:t>E</w:t>
      </w:r>
      <w:r w:rsidRPr="00E665BB">
        <w:rPr>
          <w:rFonts w:eastAsia="ArialNarrow" w:cs="ArialNarrow"/>
        </w:rPr>
        <w:t>l NO</w:t>
      </w:r>
      <w:r w:rsidRPr="009943A0">
        <w:rPr>
          <w:rFonts w:eastAsia="ArialNarrow" w:cs="ArialNarrow"/>
          <w:vertAlign w:val="subscript"/>
        </w:rPr>
        <w:t>3</w:t>
      </w:r>
      <w:r>
        <w:rPr>
          <w:rFonts w:eastAsia="ArialNarrow" w:cs="ArialNarrow"/>
        </w:rPr>
        <w:t xml:space="preserve"> </w:t>
      </w:r>
      <w:r w:rsidRPr="00E665BB">
        <w:t>puede ser reducido en las células de las r</w:t>
      </w:r>
      <w:r>
        <w:t>aíces, o bien en tallos y hojas</w:t>
      </w:r>
      <w:r w:rsidRPr="00E665BB">
        <w:t xml:space="preserve">. La </w:t>
      </w:r>
      <w:r>
        <w:t xml:space="preserve">contribución </w:t>
      </w:r>
      <w:r w:rsidRPr="00E665BB">
        <w:t>relativa de los distintos órganos en la reducción del NO</w:t>
      </w:r>
      <w:r w:rsidRPr="009943A0">
        <w:rPr>
          <w:vertAlign w:val="subscript"/>
        </w:rPr>
        <w:t>3</w:t>
      </w:r>
      <w:r w:rsidRPr="00E665BB">
        <w:t xml:space="preserve"> var</w:t>
      </w:r>
      <w:r>
        <w:t>í</w:t>
      </w:r>
      <w:r w:rsidRPr="00E665BB">
        <w:t>a con la especie: en plantas tropicales la</w:t>
      </w:r>
      <w:r>
        <w:t xml:space="preserve"> </w:t>
      </w:r>
      <w:r w:rsidRPr="00E665BB">
        <w:t>reducción ocurre preferentemente en el tallo y en las hojas, y en las de clima templado en las raíces.</w:t>
      </w:r>
      <w:r w:rsidR="003F2596">
        <w:t xml:space="preserve"> </w:t>
      </w:r>
      <w:r w:rsidRPr="00E665BB">
        <w:t>A nivel celular, las plantas en general acumulan el NO</w:t>
      </w:r>
      <w:r w:rsidRPr="009943A0">
        <w:rPr>
          <w:vertAlign w:val="subscript"/>
        </w:rPr>
        <w:t>3</w:t>
      </w:r>
      <w:r>
        <w:t xml:space="preserve"> </w:t>
      </w:r>
      <w:r w:rsidRPr="00E665BB">
        <w:t>en la vacuola, para lo cual debe ser transportado</w:t>
      </w:r>
      <w:r>
        <w:t xml:space="preserve"> </w:t>
      </w:r>
      <w:r w:rsidRPr="00E665BB">
        <w:t>a través de la</w:t>
      </w:r>
      <w:r>
        <w:t xml:space="preserve"> membrana vacuolar o tonoplasto.</w:t>
      </w:r>
      <w:r w:rsidRPr="00E665BB">
        <w:rPr>
          <w:rFonts w:cs="Symbol"/>
        </w:rPr>
        <w:t xml:space="preserve"> </w:t>
      </w:r>
      <w:r w:rsidRPr="00E665BB">
        <w:t>La reducción de NO</w:t>
      </w:r>
      <w:r w:rsidRPr="009943A0">
        <w:rPr>
          <w:vertAlign w:val="subscript"/>
        </w:rPr>
        <w:t>3</w:t>
      </w:r>
      <w:r>
        <w:t xml:space="preserve"> </w:t>
      </w:r>
      <w:r w:rsidRPr="00E665BB">
        <w:t>a NH</w:t>
      </w:r>
      <w:r w:rsidRPr="009943A0">
        <w:rPr>
          <w:vertAlign w:val="subscript"/>
        </w:rPr>
        <w:t>4</w:t>
      </w:r>
      <w:r w:rsidRPr="00E665BB">
        <w:t xml:space="preserve"> es un proceso que ocurre en dos reacciones consecutivas: una</w:t>
      </w:r>
      <w:r>
        <w:t xml:space="preserve"> </w:t>
      </w:r>
      <w:r w:rsidRPr="00E665BB">
        <w:t>citoplasmática catalizada por la enzima nitrato reductasa que reduce el nitrato a nitrito y otra</w:t>
      </w:r>
      <w:r>
        <w:t xml:space="preserve"> de los plastos,</w:t>
      </w:r>
      <w:r w:rsidRPr="00E665BB">
        <w:t xml:space="preserve"> catalizada por </w:t>
      </w:r>
      <w:proofErr w:type="gramStart"/>
      <w:r w:rsidRPr="00E665BB">
        <w:t>la</w:t>
      </w:r>
      <w:proofErr w:type="gramEnd"/>
      <w:r w:rsidRPr="00E665BB">
        <w:t xml:space="preserve"> nitrito reductasa que reduce el nitrito a amonio.</w:t>
      </w:r>
    </w:p>
    <w:p w:rsidR="004E513A" w:rsidRDefault="003F2596" w:rsidP="003F2596">
      <w:pPr>
        <w:jc w:val="center"/>
      </w:pPr>
      <w:r>
        <w:rPr>
          <w:noProof/>
          <w:lang w:val="es-PE" w:eastAsia="es-PE"/>
        </w:rPr>
        <w:drawing>
          <wp:inline distT="0" distB="0" distL="0" distR="0">
            <wp:extent cx="2714908" cy="1723019"/>
            <wp:effectExtent l="19050" t="0" r="9242"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716586" cy="1724084"/>
                    </a:xfrm>
                    <a:prstGeom prst="rect">
                      <a:avLst/>
                    </a:prstGeom>
                    <a:noFill/>
                    <a:ln w="9525">
                      <a:noFill/>
                      <a:miter lim="800000"/>
                      <a:headEnd/>
                      <a:tailEnd/>
                    </a:ln>
                  </pic:spPr>
                </pic:pic>
              </a:graphicData>
            </a:graphic>
          </wp:inline>
        </w:drawing>
      </w:r>
    </w:p>
    <w:p w:rsidR="004E513A" w:rsidRPr="00EB1862" w:rsidRDefault="00FB4824" w:rsidP="004E513A">
      <w:pPr>
        <w:jc w:val="center"/>
        <w:rPr>
          <w:sz w:val="16"/>
        </w:rPr>
      </w:pPr>
      <w:r w:rsidRPr="00EB1862">
        <w:rPr>
          <w:sz w:val="16"/>
        </w:rPr>
        <w:t xml:space="preserve">Figura 1.6: Diagrama de la absorción del nitrógeno. </w:t>
      </w:r>
      <w:r w:rsidR="004E513A" w:rsidRPr="00EB1862">
        <w:rPr>
          <w:b/>
          <w:sz w:val="16"/>
        </w:rPr>
        <w:t>Fuente</w:t>
      </w:r>
      <w:r w:rsidR="004E513A" w:rsidRPr="00EB1862">
        <w:rPr>
          <w:sz w:val="16"/>
        </w:rPr>
        <w:t>: Instituto Nacional de Innovación Agropecuaria de Uruguay</w:t>
      </w:r>
    </w:p>
    <w:p w:rsidR="004E513A" w:rsidRDefault="004E513A" w:rsidP="004E513A">
      <w:pPr>
        <w:jc w:val="both"/>
      </w:pPr>
      <w:r>
        <w:lastRenderedPageBreak/>
        <w:t xml:space="preserve">La </w:t>
      </w:r>
      <w:r w:rsidR="00962627">
        <w:t xml:space="preserve">nitrato reductasa </w:t>
      </w:r>
      <w:r>
        <w:t>del citosol usa NADH+H o NADPH+</w:t>
      </w:r>
      <w:r w:rsidRPr="00E665BB">
        <w:t xml:space="preserve">H como donador de electrones, mientras que la </w:t>
      </w:r>
      <w:r w:rsidR="00DF12D8">
        <w:t>Nitrito reductasa</w:t>
      </w:r>
      <w:r w:rsidRPr="00E665BB">
        <w:t xml:space="preserve"> que es una</w:t>
      </w:r>
      <w:r>
        <w:t xml:space="preserve"> </w:t>
      </w:r>
      <w:r w:rsidRPr="00E665BB">
        <w:t xml:space="preserve">enzima </w:t>
      </w:r>
      <w:r>
        <w:t xml:space="preserve">localizada en plastos, </w:t>
      </w:r>
      <w:r w:rsidRPr="00E665BB">
        <w:t>emplea ferred</w:t>
      </w:r>
      <w:r>
        <w:t>oxina reducida (Fd red) o NADPH+</w:t>
      </w:r>
      <w:r w:rsidRPr="00E665BB">
        <w:t>H.</w:t>
      </w:r>
      <w:r>
        <w:t xml:space="preserve"> </w:t>
      </w:r>
      <w:r w:rsidRPr="00E665BB">
        <w:t>Cuando a una planta se le suministra NO</w:t>
      </w:r>
      <w:r w:rsidRPr="009943A0">
        <w:rPr>
          <w:vertAlign w:val="subscript"/>
        </w:rPr>
        <w:t>3</w:t>
      </w:r>
      <w:r w:rsidRPr="00E665BB">
        <w:t xml:space="preserve">, aumenta la cantidad y actividad de proteína </w:t>
      </w:r>
      <w:r w:rsidR="00962627">
        <w:t>nitrato reductasa</w:t>
      </w:r>
      <w:r w:rsidR="00962627" w:rsidRPr="00E665BB">
        <w:t xml:space="preserve"> </w:t>
      </w:r>
      <w:r w:rsidRPr="00E665BB">
        <w:t>en hojas y</w:t>
      </w:r>
      <w:r>
        <w:t xml:space="preserve"> </w:t>
      </w:r>
      <w:r w:rsidRPr="00E665BB">
        <w:t xml:space="preserve">raíces. El aumento de la cantidad de </w:t>
      </w:r>
      <w:r w:rsidR="00DF12D8">
        <w:t>NITRATO REDUCTASA</w:t>
      </w:r>
      <w:r w:rsidRPr="00E665BB">
        <w:t xml:space="preserve"> se debe a la síntesis </w:t>
      </w:r>
      <w:r w:rsidRPr="00E665BB">
        <w:rPr>
          <w:rFonts w:cs="ArialNarrow,Italic"/>
          <w:i/>
          <w:iCs/>
        </w:rPr>
        <w:t xml:space="preserve">de novo </w:t>
      </w:r>
      <w:r w:rsidRPr="00E665BB">
        <w:t>de la enzima, y en plantas es uno</w:t>
      </w:r>
      <w:r>
        <w:t xml:space="preserve"> </w:t>
      </w:r>
      <w:r w:rsidRPr="00E665BB">
        <w:t>de los ejemplos más conocidos de inducción de la síntesis de una enzima por su sustrato.</w:t>
      </w:r>
      <w:r>
        <w:t xml:space="preserve"> </w:t>
      </w:r>
      <w:r w:rsidRPr="00E665BB">
        <w:t xml:space="preserve">La </w:t>
      </w:r>
      <w:r w:rsidR="00DF12D8">
        <w:t>Nitrito reductasa</w:t>
      </w:r>
      <w:r w:rsidRPr="00E665BB">
        <w:t>, codificada por un gen nuclear, es sintetizada en el citoplasma como una proteína precursora, y</w:t>
      </w:r>
      <w:r>
        <w:t xml:space="preserve"> </w:t>
      </w:r>
      <w:r w:rsidRPr="00E665BB">
        <w:t>tiene una secuencia N-terminal que corresponde a un péptido señal que determina su ingreso al los</w:t>
      </w:r>
      <w:r>
        <w:t xml:space="preserve"> </w:t>
      </w:r>
      <w:r w:rsidRPr="00E665BB">
        <w:t>plastos.</w:t>
      </w:r>
    </w:p>
    <w:p w:rsidR="004E513A" w:rsidRDefault="004E513A" w:rsidP="004E513A">
      <w:pPr>
        <w:jc w:val="both"/>
      </w:pPr>
      <w:r w:rsidRPr="00930B04">
        <w:t>La asimilación de nitrógeno consiste en la incorporación del NH</w:t>
      </w:r>
      <w:r w:rsidRPr="00930B04">
        <w:rPr>
          <w:vertAlign w:val="subscript"/>
        </w:rPr>
        <w:t>4</w:t>
      </w:r>
      <w:r>
        <w:t xml:space="preserve"> </w:t>
      </w:r>
      <w:r w:rsidRPr="00930B04">
        <w:t>a moléculas orgánicas. El NH</w:t>
      </w:r>
      <w:r w:rsidRPr="00930B04">
        <w:rPr>
          <w:vertAlign w:val="subscript"/>
        </w:rPr>
        <w:t>4</w:t>
      </w:r>
      <w:r w:rsidRPr="00930B04">
        <w:t xml:space="preserve"> puede ser</w:t>
      </w:r>
      <w:r>
        <w:t xml:space="preserve"> </w:t>
      </w:r>
      <w:r w:rsidRPr="00930B04">
        <w:t>absorbido como tal, de la reducción del NO</w:t>
      </w:r>
      <w:r w:rsidRPr="00930B04">
        <w:rPr>
          <w:vertAlign w:val="subscript"/>
        </w:rPr>
        <w:t>3</w:t>
      </w:r>
      <w:r w:rsidRPr="00930B04">
        <w:t xml:space="preserve"> que las plantas absorben, o del N</w:t>
      </w:r>
      <w:r w:rsidRPr="00930B04">
        <w:rPr>
          <w:vertAlign w:val="subscript"/>
        </w:rPr>
        <w:t>2</w:t>
      </w:r>
      <w:r w:rsidRPr="00930B04">
        <w:t xml:space="preserve"> atmosférico que bacterias</w:t>
      </w:r>
      <w:r>
        <w:t xml:space="preserve"> </w:t>
      </w:r>
      <w:r w:rsidRPr="00930B04">
        <w:t>asociadas a plantas son capaces de</w:t>
      </w:r>
      <w:r>
        <w:t xml:space="preserve"> reducir</w:t>
      </w:r>
      <w:r w:rsidRPr="00930B04">
        <w:t>. En los tejidos vegetales prácticamente la totalidad del nitrógeno es asimilado por una reacción catalizada</w:t>
      </w:r>
      <w:r>
        <w:t xml:space="preserve"> </w:t>
      </w:r>
      <w:r w:rsidRPr="00930B04">
        <w:t>por la enzima glutamina sintetasa (GS), seguida de otra reacción catalizada por la glutamato sintasa</w:t>
      </w:r>
      <w:r>
        <w:t xml:space="preserve"> (GOGAT), una amidotransferasa.</w:t>
      </w:r>
      <w:r w:rsidRPr="00930B04">
        <w:t xml:space="preserve"> </w:t>
      </w:r>
    </w:p>
    <w:p w:rsidR="004E513A" w:rsidRDefault="004E513A" w:rsidP="004E513A">
      <w:pPr>
        <w:jc w:val="center"/>
      </w:pPr>
      <w:r>
        <w:rPr>
          <w:noProof/>
          <w:lang w:val="es-PE" w:eastAsia="es-PE"/>
        </w:rPr>
        <w:drawing>
          <wp:inline distT="0" distB="0" distL="0" distR="0">
            <wp:extent cx="3800475" cy="54292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800475" cy="542925"/>
                    </a:xfrm>
                    <a:prstGeom prst="rect">
                      <a:avLst/>
                    </a:prstGeom>
                    <a:noFill/>
                    <a:ln w="9525">
                      <a:noFill/>
                      <a:miter lim="800000"/>
                      <a:headEnd/>
                      <a:tailEnd/>
                    </a:ln>
                  </pic:spPr>
                </pic:pic>
              </a:graphicData>
            </a:graphic>
          </wp:inline>
        </w:drawing>
      </w:r>
    </w:p>
    <w:p w:rsidR="004E513A" w:rsidRPr="00EB1862" w:rsidRDefault="00FB4824" w:rsidP="004E513A">
      <w:pPr>
        <w:jc w:val="center"/>
        <w:rPr>
          <w:sz w:val="16"/>
        </w:rPr>
      </w:pPr>
      <w:r w:rsidRPr="00EB1862">
        <w:rPr>
          <w:sz w:val="16"/>
        </w:rPr>
        <w:t xml:space="preserve">Figura 1.7: </w:t>
      </w:r>
      <w:r w:rsidR="004E513A" w:rsidRPr="00EB1862">
        <w:rPr>
          <w:sz w:val="16"/>
        </w:rPr>
        <w:t xml:space="preserve">Reacciones de la reducción del nitrógeno, indicando sus localizaciones. </w:t>
      </w:r>
      <w:r w:rsidR="004E513A" w:rsidRPr="00EB1862">
        <w:rPr>
          <w:b/>
          <w:sz w:val="16"/>
        </w:rPr>
        <w:t>Fuente</w:t>
      </w:r>
      <w:r w:rsidR="004E513A" w:rsidRPr="00EB1862">
        <w:rPr>
          <w:sz w:val="16"/>
        </w:rPr>
        <w:t>: Manual de prácticas de Fisiología Vegetal de la Facultad de Agronomía de la Universidad de la República del Uruguay</w:t>
      </w:r>
    </w:p>
    <w:p w:rsidR="004E513A" w:rsidRDefault="00E32E52" w:rsidP="004E513A">
      <w:pPr>
        <w:jc w:val="both"/>
      </w:pPr>
      <w:r w:rsidRPr="002D6B29">
        <w:rPr>
          <w:noProof/>
        </w:rPr>
        <w:pict>
          <v:rect id="_x0000_s1030" style="position:absolute;left:0;text-align:left;margin-left:253.95pt;margin-top:439.15pt;width:169.7pt;height:189pt;rotation:-360;z-index:251664384;mso-position-horizontal-relative:margin;mso-position-vertical-relative:margin;mso-width-relative:margin;mso-height-relative:margin" o:allowincell="f" fillcolor="#d8d8d8 [2732]" strokecolor="#4bacc6 [3208]" strokeweight="1pt">
            <v:stroke dashstyle="dash"/>
            <v:imagedata embosscolor="shadow add(51)"/>
            <v:shadow color="#868686"/>
            <v:textbox style="mso-next-textbox:#_x0000_s1030" inset="18pt,0,0,0">
              <w:txbxContent>
                <w:p w:rsidR="003C71AD" w:rsidRDefault="003C71AD" w:rsidP="00EB1862">
                  <w:pPr>
                    <w:jc w:val="center"/>
                  </w:pPr>
                  <w:r>
                    <w:t>Para hacer 100 ml de reactivos para nitritos:</w:t>
                  </w:r>
                </w:p>
                <w:p w:rsidR="003C71AD" w:rsidRDefault="003C71AD" w:rsidP="00EB1862">
                  <w:pPr>
                    <w:pStyle w:val="Prrafodelista"/>
                    <w:numPr>
                      <w:ilvl w:val="0"/>
                      <w:numId w:val="1"/>
                    </w:numPr>
                    <w:ind w:left="426" w:hanging="284"/>
                    <w:jc w:val="both"/>
                  </w:pPr>
                  <w:r>
                    <w:rPr>
                      <w:lang w:val="es-ES"/>
                    </w:rPr>
                    <w:t xml:space="preserve">Mezclar </w:t>
                  </w:r>
                  <w:r>
                    <w:t xml:space="preserve">3.8735 ml de </w:t>
                  </w:r>
                  <w:proofErr w:type="spellStart"/>
                  <w:r>
                    <w:t>HCl</w:t>
                  </w:r>
                  <w:proofErr w:type="spellEnd"/>
                  <w:r>
                    <w:t xml:space="preserve"> al 37% (</w:t>
                  </w:r>
                  <w:r>
                    <w:rPr>
                      <w:rFonts w:ascii="Times New Roman" w:hAnsi="Times New Roman" w:cs="Times New Roman"/>
                    </w:rPr>
                    <w:t>ρ</w:t>
                  </w:r>
                  <w:r>
                    <w:t>= 1.19 g/cm</w:t>
                  </w:r>
                  <w:r w:rsidRPr="008C6454">
                    <w:rPr>
                      <w:vertAlign w:val="superscript"/>
                    </w:rPr>
                    <w:t>3</w:t>
                  </w:r>
                  <w:r>
                    <w:t>) y se completa con agua destilada hasta los 50 ml. Luego, se disuelve 0,5 g de sulfanilamida en la solución.</w:t>
                  </w:r>
                </w:p>
                <w:p w:rsidR="003C71AD" w:rsidRDefault="003C71AD" w:rsidP="00EB1862">
                  <w:pPr>
                    <w:pStyle w:val="Prrafodelista"/>
                    <w:numPr>
                      <w:ilvl w:val="0"/>
                      <w:numId w:val="1"/>
                    </w:numPr>
                    <w:ind w:left="426" w:hanging="284"/>
                    <w:jc w:val="both"/>
                  </w:pPr>
                  <w:r>
                    <w:t>0, 01 g de N-(1-naftil)-etilén-diamín-dicloruro en 50 ml de agua destilada. Mezclar.</w:t>
                  </w:r>
                </w:p>
                <w:p w:rsidR="003C71AD" w:rsidRDefault="003C71AD"/>
              </w:txbxContent>
            </v:textbox>
            <w10:wrap type="square" anchorx="margin" anchory="margin"/>
          </v:rect>
        </w:pict>
      </w:r>
      <w:r w:rsidR="004E513A" w:rsidRPr="00930B04">
        <w:t>La GS cataliza la incorporación del NH</w:t>
      </w:r>
      <w:r w:rsidR="004E513A" w:rsidRPr="00930B04">
        <w:rPr>
          <w:vertAlign w:val="subscript"/>
        </w:rPr>
        <w:t>4</w:t>
      </w:r>
      <w:r w:rsidR="004E513A">
        <w:t xml:space="preserve"> </w:t>
      </w:r>
      <w:r w:rsidR="004E513A" w:rsidRPr="00930B04">
        <w:t>al glutamato para dar glutamina en una reacción que</w:t>
      </w:r>
      <w:r w:rsidR="004E513A">
        <w:t xml:space="preserve"> </w:t>
      </w:r>
      <w:r w:rsidR="004E513A" w:rsidRPr="00930B04">
        <w:t>requiere ATP. El bajo K</w:t>
      </w:r>
      <w:r w:rsidR="004E513A" w:rsidRPr="00930B04">
        <w:rPr>
          <w:vertAlign w:val="subscript"/>
        </w:rPr>
        <w:t>M</w:t>
      </w:r>
      <w:r w:rsidR="004E513A" w:rsidRPr="00930B04">
        <w:t xml:space="preserve"> de la GS para el NH</w:t>
      </w:r>
      <w:r w:rsidR="004E513A" w:rsidRPr="00930B04">
        <w:rPr>
          <w:vertAlign w:val="subscript"/>
        </w:rPr>
        <w:t>4</w:t>
      </w:r>
      <w:r w:rsidR="004E513A">
        <w:t xml:space="preserve"> </w:t>
      </w:r>
      <w:r w:rsidR="004E513A" w:rsidRPr="00930B04">
        <w:t>asegura su inmediata asimilación, lo que evita que este</w:t>
      </w:r>
      <w:r w:rsidR="004E513A">
        <w:t xml:space="preserve"> ion toxico</w:t>
      </w:r>
      <w:r w:rsidR="004E513A" w:rsidRPr="00930B04">
        <w:t xml:space="preserve"> quede libre en la célula.</w:t>
      </w:r>
      <w:r w:rsidR="004E513A">
        <w:t xml:space="preserve"> </w:t>
      </w:r>
      <w:r w:rsidR="004E513A" w:rsidRPr="00930B04">
        <w:t>La reacción que sigue es catalizada por la GOGAT, enzima que uti</w:t>
      </w:r>
      <w:r w:rsidR="004E513A">
        <w:t xml:space="preserve">liza como cofactores al </w:t>
      </w:r>
      <w:proofErr w:type="gramStart"/>
      <w:r w:rsidR="004E513A">
        <w:t>NAD(</w:t>
      </w:r>
      <w:proofErr w:type="gramEnd"/>
      <w:r w:rsidR="004E513A">
        <w:t>P)H+</w:t>
      </w:r>
      <w:r w:rsidR="004E513A" w:rsidRPr="00930B04">
        <w:t>H o</w:t>
      </w:r>
      <w:r w:rsidR="004E513A">
        <w:t xml:space="preserve"> </w:t>
      </w:r>
      <w:r w:rsidR="004E513A" w:rsidRPr="00930B04">
        <w:t>ferredoxina reducida. En esta reacción el grupo amida de la glutamina es transferido al cetoglutarato</w:t>
      </w:r>
      <w:r w:rsidR="004E513A">
        <w:t xml:space="preserve"> </w:t>
      </w:r>
      <w:r w:rsidR="004E513A" w:rsidRPr="00930B04">
        <w:t>para dar dos moléculas</w:t>
      </w:r>
      <w:r w:rsidR="004E513A">
        <w:t xml:space="preserve"> de glutamato</w:t>
      </w:r>
      <w:r w:rsidR="004E513A" w:rsidRPr="00930B04">
        <w:t>. Un glutamato es un aceptor de NH</w:t>
      </w:r>
      <w:r w:rsidR="004E513A" w:rsidRPr="00930B04">
        <w:rPr>
          <w:vertAlign w:val="subscript"/>
        </w:rPr>
        <w:t>4</w:t>
      </w:r>
      <w:r w:rsidR="004E513A">
        <w:t xml:space="preserve"> </w:t>
      </w:r>
      <w:r w:rsidR="004E513A" w:rsidRPr="00930B04">
        <w:t>cerrándose así el</w:t>
      </w:r>
      <w:r w:rsidR="004E513A">
        <w:t xml:space="preserve"> ciclo GS/GOGAT</w:t>
      </w:r>
      <w:r w:rsidR="004E513A" w:rsidRPr="00930B04">
        <w:t xml:space="preserve"> y el otro glutamato se usa para la síntesis de aminoácidos mediante</w:t>
      </w:r>
      <w:r w:rsidR="004E513A">
        <w:t xml:space="preserve"> aminotransferasas.</w:t>
      </w:r>
      <w:r>
        <w:t xml:space="preserve"> Ecológicamente, la “vitalidad” del nitrógeno en un ecosistema puede determinar su salud (Suárez et al. 2008)</w:t>
      </w:r>
    </w:p>
    <w:p w:rsidR="004E513A" w:rsidRDefault="00D566BE" w:rsidP="004E513A">
      <w:pPr>
        <w:jc w:val="both"/>
      </w:pPr>
      <w:r>
        <w:rPr>
          <w:i/>
        </w:rPr>
        <w:t>Metodología</w:t>
      </w:r>
      <w:r>
        <w:t xml:space="preserve">: </w:t>
      </w:r>
      <w:r w:rsidR="004E513A">
        <w:t>Para el presente ensayo, se tomaron muestras según el protocolo de la determinación de nitrato reductasa de la cuarta práctica del curso “Fisiología del Estrés”</w:t>
      </w:r>
      <w:r w:rsidR="00EB1862">
        <w:t xml:space="preserve"> (Calderón, </w:t>
      </w:r>
      <w:r w:rsidR="00044E38">
        <w:t>s. d.</w:t>
      </w:r>
      <w:r w:rsidR="00EB1862">
        <w:t>)</w:t>
      </w:r>
      <w:r w:rsidR="004E513A">
        <w:t xml:space="preserve">, es decir, el protocolo de </w:t>
      </w:r>
      <w:proofErr w:type="spellStart"/>
      <w:r w:rsidR="004E513A">
        <w:t>Neyra</w:t>
      </w:r>
      <w:proofErr w:type="spellEnd"/>
      <w:r w:rsidR="004E513A">
        <w:t xml:space="preserve"> y </w:t>
      </w:r>
      <w:proofErr w:type="spellStart"/>
      <w:r w:rsidR="004E513A">
        <w:t>Hageman</w:t>
      </w:r>
      <w:proofErr w:type="spellEnd"/>
      <w:r w:rsidR="004E513A">
        <w:t xml:space="preserve"> modificado por Álvarez y </w:t>
      </w:r>
      <w:proofErr w:type="spellStart"/>
      <w:r w:rsidR="004E513A">
        <w:t>Felman</w:t>
      </w:r>
      <w:proofErr w:type="spellEnd"/>
      <w:r w:rsidR="004E513A">
        <w:t xml:space="preserve">. Este consiste en los siguientes procesos: se pesa medio gramo de hojas de la especie a estudiar (cuidando que la muestra no tenga nervaduras); y se desmenuza a tamaños menores de 5 mm. Se colocan en viales con solución incubadora y se deja reposando por una hora, a temperatura controlada (30 – 32° C). Al finalizar la incubación, se toman alícuotas </w:t>
      </w:r>
      <w:r w:rsidR="00D23373">
        <w:t xml:space="preserve">de 100 </w:t>
      </w:r>
      <w:r w:rsidR="004E513A">
        <w:t xml:space="preserve">de la solución incubada y se coloca en un tubo de prueba. Se agrega 2 ml del reactivo de nitritos y se </w:t>
      </w:r>
      <w:r w:rsidR="004E513A">
        <w:lastRenderedPageBreak/>
        <w:t>completa con 5 ml de agua destilada</w:t>
      </w:r>
      <w:r w:rsidR="0001307E">
        <w:t xml:space="preserve">. La mezcla toma un color púrpura característico, y se evalúa en un espectrofotómetro de espectro visible a 540 nm. Con los datos obtenidos se </w:t>
      </w:r>
      <w:r w:rsidR="00D23373">
        <w:t>resuelve la siguiente fórmula para hallar la cantidad de nitritos producidos por gramo de peso fresco de material vegetal, lo que nos permite evaluar, indirectamente, la actividad (y por ende la cantidad) de nitrato reductasa:</w:t>
      </w:r>
    </w:p>
    <w:p w:rsidR="00D23373" w:rsidRPr="00207FCF" w:rsidRDefault="00D23373" w:rsidP="00D23373">
      <w:pPr>
        <w:jc w:val="center"/>
        <w:rPr>
          <w:color w:val="008000"/>
        </w:rPr>
      </w:pPr>
      <w:r w:rsidRPr="00207FCF">
        <w:rPr>
          <w:color w:val="008000"/>
        </w:rPr>
        <w:t xml:space="preserve">Número de </w:t>
      </w:r>
      <w:r w:rsidRPr="00207FCF">
        <w:rPr>
          <w:rFonts w:ascii="Times New Roman" w:hAnsi="Times New Roman" w:cs="Times New Roman"/>
          <w:color w:val="008000"/>
        </w:rPr>
        <w:t>μ</w:t>
      </w:r>
      <w:r w:rsidRPr="00207FCF">
        <w:rPr>
          <w:color w:val="008000"/>
        </w:rPr>
        <w:t>mol de NO</w:t>
      </w:r>
      <w:r w:rsidRPr="00207FCF">
        <w:rPr>
          <w:color w:val="008000"/>
          <w:vertAlign w:val="subscript"/>
        </w:rPr>
        <w:t>2</w:t>
      </w:r>
      <w:r w:rsidRPr="00207FCF">
        <w:rPr>
          <w:color w:val="008000"/>
          <w:vertAlign w:val="superscript"/>
        </w:rPr>
        <w:t xml:space="preserve">- </w:t>
      </w:r>
      <w:r w:rsidR="008C3859" w:rsidRPr="00207FCF">
        <w:rPr>
          <w:color w:val="008000"/>
        </w:rPr>
        <w:t xml:space="preserve">/ </w:t>
      </w:r>
      <w:r w:rsidRPr="00207FCF">
        <w:rPr>
          <w:color w:val="008000"/>
        </w:rPr>
        <w:t xml:space="preserve">Peso freso </w:t>
      </w:r>
      <w:r w:rsidR="008C3859" w:rsidRPr="00207FCF">
        <w:rPr>
          <w:color w:val="008000"/>
        </w:rPr>
        <w:t>(</w:t>
      </w:r>
      <w:r w:rsidRPr="00207FCF">
        <w:rPr>
          <w:color w:val="008000"/>
        </w:rPr>
        <w:t>en</w:t>
      </w:r>
      <w:r w:rsidR="00D06ED9" w:rsidRPr="00207FCF">
        <w:rPr>
          <w:color w:val="008000"/>
        </w:rPr>
        <w:t xml:space="preserve"> </w:t>
      </w:r>
      <w:r w:rsidR="00207FCF" w:rsidRPr="00207FCF">
        <w:rPr>
          <w:color w:val="008000"/>
        </w:rPr>
        <w:t>m</w:t>
      </w:r>
      <w:r w:rsidR="00D06ED9" w:rsidRPr="00207FCF">
        <w:rPr>
          <w:color w:val="008000"/>
        </w:rPr>
        <w:t>g)</w:t>
      </w:r>
      <w:r w:rsidR="00EB1862" w:rsidRPr="00207FCF">
        <w:rPr>
          <w:color w:val="008000"/>
        </w:rPr>
        <w:t xml:space="preserve"> </w:t>
      </w:r>
      <w:r w:rsidR="00D06ED9" w:rsidRPr="00207FCF">
        <w:rPr>
          <w:color w:val="008000"/>
        </w:rPr>
        <w:t xml:space="preserve">= 0.1 × DO × 1/alícuota (en </w:t>
      </w:r>
      <w:r w:rsidRPr="00207FCF">
        <w:rPr>
          <w:color w:val="008000"/>
        </w:rPr>
        <w:t>l</w:t>
      </w:r>
      <w:r w:rsidR="00D06ED9" w:rsidRPr="00207FCF">
        <w:rPr>
          <w:color w:val="008000"/>
        </w:rPr>
        <w:t xml:space="preserve"> × 10</w:t>
      </w:r>
      <w:r w:rsidR="007240F5" w:rsidRPr="007240F5">
        <w:rPr>
          <w:color w:val="008000"/>
          <w:vertAlign w:val="superscript"/>
        </w:rPr>
        <w:t>-4</w:t>
      </w:r>
      <w:r w:rsidRPr="00207FCF">
        <w:rPr>
          <w:color w:val="008000"/>
        </w:rPr>
        <w:t>) × 1/peso (en mg)</w:t>
      </w:r>
      <w:r w:rsidR="005E6C04" w:rsidRPr="00207FCF">
        <w:rPr>
          <w:color w:val="008000"/>
        </w:rPr>
        <w:t xml:space="preserve"> × </w:t>
      </w:r>
      <w:r w:rsidR="008C3859" w:rsidRPr="00207FCF">
        <w:rPr>
          <w:color w:val="008000"/>
        </w:rPr>
        <w:t xml:space="preserve">Tiempo de incubación (en minutos) × </w:t>
      </w:r>
      <w:r w:rsidR="005E6C04" w:rsidRPr="00207FCF">
        <w:rPr>
          <w:color w:val="008000"/>
        </w:rPr>
        <w:t>Volumen (en ml)</w:t>
      </w:r>
    </w:p>
    <w:p w:rsidR="005E6C04" w:rsidRPr="00930B04" w:rsidRDefault="005E6C04" w:rsidP="005E6C04">
      <w:pPr>
        <w:jc w:val="both"/>
      </w:pPr>
      <w:r>
        <w:t xml:space="preserve">Así, se obtienen valores que son las variables independientes de la densidad óptica, lo que nos permite elaborar una </w:t>
      </w:r>
      <w:r w:rsidR="005E2F02">
        <w:t xml:space="preserve"> curva</w:t>
      </w:r>
      <w:r>
        <w:t xml:space="preserve"> estándar.</w:t>
      </w:r>
    </w:p>
    <w:p w:rsidR="005E2F02" w:rsidRPr="008C3859" w:rsidRDefault="005E2F02" w:rsidP="00D06ED9">
      <w:pPr>
        <w:jc w:val="both"/>
        <w:rPr>
          <w:b/>
        </w:rPr>
      </w:pPr>
      <w:r w:rsidRPr="008C3859">
        <w:rPr>
          <w:b/>
        </w:rPr>
        <w:t>4. Resultados</w:t>
      </w:r>
      <w:r w:rsidR="00320FC3" w:rsidRPr="008C3859">
        <w:rPr>
          <w:b/>
        </w:rPr>
        <w:t xml:space="preserve"> y discusiones</w:t>
      </w:r>
    </w:p>
    <w:p w:rsidR="00D566BE" w:rsidRDefault="00D566BE" w:rsidP="00D06ED9">
      <w:pPr>
        <w:jc w:val="both"/>
      </w:pPr>
      <w:r>
        <w:rPr>
          <w:i/>
        </w:rPr>
        <w:t>Sobre la prueba de clorofilas</w:t>
      </w:r>
      <w:r w:rsidR="008A0F7B">
        <w:t xml:space="preserve">: </w:t>
      </w:r>
      <w:r w:rsidR="007240F5">
        <w:t>Se observa un incremento no significativo en las clorofilas de ambas especies, además de ver una disminución no significativa de la proporción entre clorofila a y b</w:t>
      </w:r>
      <w:r w:rsidR="00944E1E">
        <w:t>. La irregularidad de los resultados, y la falta de contundencia de los datos se pueden deber a la falta de rigor en los tratamientos por parte de todos los experimentadores. Lamentablemente, hubo errores en el riego e inconstancias en el manejo, lo que impide tener un compendio adecuado de la realidad. Sin embargo, se observan ciertas tendencias (la disminución del índice clorofila a</w:t>
      </w:r>
      <w:r w:rsidR="000D3C86">
        <w:t xml:space="preserve"> </w:t>
      </w:r>
      <w:r w:rsidR="00944E1E">
        <w:t>/</w:t>
      </w:r>
      <w:r w:rsidR="000D3C86">
        <w:t xml:space="preserve"> </w:t>
      </w:r>
      <w:r w:rsidR="00944E1E">
        <w:t xml:space="preserve">clorofila b, el incremento de clorofila total), que si bien carecen de significancia estadística, pueden tomarse como indicios de aquello que ocurre efectivamente bajo condiciones de estrés salino, y que señalan efectos significativos que han sido documentados en otras investigaciones. Se adjuntan </w:t>
      </w:r>
      <w:r w:rsidR="000D3C86">
        <w:t>tablas y</w:t>
      </w:r>
      <w:r w:rsidR="00944E1E">
        <w:t xml:space="preserve"> gráficos.</w:t>
      </w:r>
    </w:p>
    <w:tbl>
      <w:tblPr>
        <w:tblW w:w="8880" w:type="dxa"/>
        <w:tblInd w:w="70" w:type="dxa"/>
        <w:tblCellMar>
          <w:left w:w="70" w:type="dxa"/>
          <w:right w:w="70" w:type="dxa"/>
        </w:tblCellMar>
        <w:tblLook w:val="04A0"/>
      </w:tblPr>
      <w:tblGrid>
        <w:gridCol w:w="1200"/>
        <w:gridCol w:w="1200"/>
        <w:gridCol w:w="1200"/>
        <w:gridCol w:w="1200"/>
        <w:gridCol w:w="1200"/>
        <w:gridCol w:w="1420"/>
        <w:gridCol w:w="1460"/>
      </w:tblGrid>
      <w:tr w:rsidR="000D3C86" w:rsidRPr="000D3C86" w:rsidTr="00C978BF">
        <w:trPr>
          <w:trHeight w:val="312"/>
        </w:trPr>
        <w:tc>
          <w:tcPr>
            <w:tcW w:w="1200" w:type="dxa"/>
            <w:tcBorders>
              <w:top w:val="nil"/>
              <w:left w:val="nil"/>
              <w:bottom w:val="nil"/>
              <w:right w:val="nil"/>
            </w:tcBorders>
            <w:shd w:val="clear" w:color="auto" w:fill="auto"/>
            <w:noWrap/>
            <w:vAlign w:val="bottom"/>
            <w:hideMark/>
          </w:tcPr>
          <w:p w:rsidR="000D3C86" w:rsidRPr="000D3C86" w:rsidRDefault="000D3C86" w:rsidP="000D3C86">
            <w:pPr>
              <w:spacing w:after="0" w:line="240" w:lineRule="auto"/>
              <w:rPr>
                <w:rFonts w:ascii="Calibri" w:eastAsia="Times New Roman" w:hAnsi="Calibri" w:cs="Times New Roman"/>
                <w:color w:val="000000"/>
                <w:sz w:val="16"/>
                <w:szCs w:val="16"/>
                <w:lang w:val="es-PE" w:eastAsia="es-PE"/>
              </w:rPr>
            </w:pPr>
          </w:p>
        </w:tc>
        <w:tc>
          <w:tcPr>
            <w:tcW w:w="2400" w:type="dxa"/>
            <w:gridSpan w:val="2"/>
            <w:tcBorders>
              <w:top w:val="single" w:sz="4" w:space="0" w:color="auto"/>
              <w:left w:val="single" w:sz="4" w:space="0" w:color="auto"/>
              <w:bottom w:val="single" w:sz="4" w:space="0" w:color="auto"/>
              <w:right w:val="single" w:sz="4" w:space="0" w:color="auto"/>
            </w:tcBorders>
            <w:shd w:val="clear" w:color="000000" w:fill="BFBFBF"/>
            <w:vAlign w:val="bottom"/>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Absorbancia</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 xml:space="preserve">Clorofila </w:t>
            </w:r>
            <w:r w:rsidRPr="000D3C86">
              <w:rPr>
                <w:rFonts w:ascii="Calibri" w:eastAsia="Times New Roman" w:hAnsi="Calibri" w:cs="Times New Roman"/>
                <w:b/>
                <w:bCs/>
                <w:color w:val="000000"/>
                <w:sz w:val="16"/>
                <w:szCs w:val="16"/>
                <w:u w:val="single"/>
                <w:lang w:val="es-PE" w:eastAsia="es-PE"/>
              </w:rPr>
              <w:t>a</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 xml:space="preserve">Clorofila </w:t>
            </w:r>
            <w:r w:rsidRPr="000D3C86">
              <w:rPr>
                <w:rFonts w:ascii="Calibri" w:eastAsia="Times New Roman" w:hAnsi="Calibri" w:cs="Times New Roman"/>
                <w:b/>
                <w:bCs/>
                <w:color w:val="000000"/>
                <w:sz w:val="16"/>
                <w:szCs w:val="16"/>
                <w:u w:val="single"/>
                <w:lang w:val="es-PE" w:eastAsia="es-PE"/>
              </w:rPr>
              <w:t>b</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Clorofila Total</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 xml:space="preserve">Proporción </w:t>
            </w:r>
            <w:r w:rsidRPr="000D3C86">
              <w:rPr>
                <w:rFonts w:ascii="Calibri" w:eastAsia="Times New Roman" w:hAnsi="Calibri" w:cs="Times New Roman"/>
                <w:b/>
                <w:bCs/>
                <w:color w:val="000000"/>
                <w:sz w:val="16"/>
                <w:szCs w:val="16"/>
                <w:u w:val="single"/>
                <w:lang w:val="es-PE" w:eastAsia="es-PE"/>
              </w:rPr>
              <w:t xml:space="preserve">a </w:t>
            </w:r>
            <w:r w:rsidRPr="000D3C86">
              <w:rPr>
                <w:rFonts w:ascii="Calibri" w:eastAsia="Times New Roman" w:hAnsi="Calibri" w:cs="Times New Roman"/>
                <w:b/>
                <w:bCs/>
                <w:color w:val="000000"/>
                <w:sz w:val="16"/>
                <w:szCs w:val="16"/>
                <w:lang w:val="es-PE" w:eastAsia="es-PE"/>
              </w:rPr>
              <w:t xml:space="preserve">/ </w:t>
            </w:r>
            <w:r w:rsidRPr="000D3C86">
              <w:rPr>
                <w:rFonts w:ascii="Calibri" w:eastAsia="Times New Roman" w:hAnsi="Calibri" w:cs="Times New Roman"/>
                <w:b/>
                <w:bCs/>
                <w:color w:val="000000"/>
                <w:sz w:val="16"/>
                <w:szCs w:val="16"/>
                <w:u w:val="single"/>
                <w:lang w:val="es-PE" w:eastAsia="es-PE"/>
              </w:rPr>
              <w:t>b</w:t>
            </w:r>
          </w:p>
        </w:tc>
      </w:tr>
      <w:tr w:rsidR="000D3C86" w:rsidRPr="000D3C86" w:rsidTr="00C978BF">
        <w:trPr>
          <w:trHeight w:val="312"/>
        </w:trPr>
        <w:tc>
          <w:tcPr>
            <w:tcW w:w="1200" w:type="dxa"/>
            <w:tcBorders>
              <w:top w:val="nil"/>
              <w:left w:val="nil"/>
              <w:bottom w:val="nil"/>
              <w:right w:val="nil"/>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p>
        </w:tc>
        <w:tc>
          <w:tcPr>
            <w:tcW w:w="1200" w:type="dxa"/>
            <w:tcBorders>
              <w:top w:val="nil"/>
              <w:left w:val="single" w:sz="4" w:space="0" w:color="auto"/>
              <w:bottom w:val="single" w:sz="4" w:space="0" w:color="auto"/>
              <w:right w:val="single" w:sz="4" w:space="0" w:color="auto"/>
            </w:tcBorders>
            <w:shd w:val="clear" w:color="000000" w:fill="BFBFBF"/>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663 nm</w:t>
            </w:r>
          </w:p>
        </w:tc>
        <w:tc>
          <w:tcPr>
            <w:tcW w:w="1200" w:type="dxa"/>
            <w:tcBorders>
              <w:top w:val="nil"/>
              <w:left w:val="nil"/>
              <w:bottom w:val="single" w:sz="4" w:space="0" w:color="auto"/>
              <w:right w:val="single" w:sz="4" w:space="0" w:color="auto"/>
            </w:tcBorders>
            <w:shd w:val="clear" w:color="000000" w:fill="BFBFBF"/>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643 nm</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r>
      <w:tr w:rsidR="000D3C86" w:rsidRPr="000D3C86" w:rsidTr="00C978BF">
        <w:trPr>
          <w:trHeight w:val="312"/>
        </w:trPr>
        <w:tc>
          <w:tcPr>
            <w:tcW w:w="12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BT1</w:t>
            </w:r>
            <w:r w:rsidR="009827DC">
              <w:rPr>
                <w:rFonts w:ascii="Calibri" w:eastAsia="Times New Roman" w:hAnsi="Calibri" w:cs="Times New Roman"/>
                <w:b/>
                <w:bCs/>
                <w:color w:val="000000"/>
                <w:sz w:val="16"/>
                <w:szCs w:val="16"/>
                <w:lang w:val="es-PE" w:eastAsia="es-PE"/>
              </w:rPr>
              <w:t xml:space="preserve"> (Control)</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0.905</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0.32</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10.0513</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1.88945</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11.94075</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5.319696208</w:t>
            </w:r>
          </w:p>
        </w:tc>
      </w:tr>
      <w:tr w:rsidR="000D3C86" w:rsidRPr="000D3C86" w:rsidTr="00C978BF">
        <w:trPr>
          <w:trHeight w:val="312"/>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0.939</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0.345</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10.39245</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2.22168</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12.61413</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4.67774387</w:t>
            </w:r>
          </w:p>
        </w:tc>
      </w:tr>
      <w:tr w:rsidR="000D3C86" w:rsidRPr="000D3C86" w:rsidTr="00C978BF">
        <w:trPr>
          <w:trHeight w:val="312"/>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0.922</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0.315</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10.27105</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1.70329</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11.97434</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6.030124054</w:t>
            </w:r>
          </w:p>
        </w:tc>
      </w:tr>
      <w:tr w:rsidR="000D3C86" w:rsidRPr="000D3C86" w:rsidTr="00C978BF">
        <w:trPr>
          <w:trHeight w:val="312"/>
        </w:trPr>
        <w:tc>
          <w:tcPr>
            <w:tcW w:w="1200"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BT2</w:t>
            </w:r>
            <w:r w:rsidR="009827DC">
              <w:rPr>
                <w:rFonts w:ascii="Calibri" w:eastAsia="Times New Roman" w:hAnsi="Calibri" w:cs="Times New Roman"/>
                <w:b/>
                <w:bCs/>
                <w:color w:val="000000"/>
                <w:sz w:val="16"/>
                <w:szCs w:val="16"/>
                <w:lang w:val="es-PE" w:eastAsia="es-PE"/>
              </w:rPr>
              <w:t xml:space="preserve"> (CE = 3 dS/m)</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0.74</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0.271</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8.19249</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1.73303</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9.92552</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4.72726381</w:t>
            </w:r>
          </w:p>
        </w:tc>
      </w:tr>
      <w:tr w:rsidR="000D3C86" w:rsidRPr="000D3C86" w:rsidTr="00C978BF">
        <w:trPr>
          <w:trHeight w:val="312"/>
        </w:trPr>
        <w:tc>
          <w:tcPr>
            <w:tcW w:w="1200" w:type="dxa"/>
            <w:vMerge/>
            <w:tcBorders>
              <w:top w:val="nil"/>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1.074</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0.386</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11.91074</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2.36796</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14.2787</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5.029958276</w:t>
            </w:r>
          </w:p>
        </w:tc>
      </w:tr>
      <w:tr w:rsidR="000D3C86" w:rsidRPr="000D3C86" w:rsidTr="00C978BF">
        <w:trPr>
          <w:trHeight w:val="312"/>
        </w:trPr>
        <w:tc>
          <w:tcPr>
            <w:tcW w:w="1200" w:type="dxa"/>
            <w:vMerge/>
            <w:tcBorders>
              <w:top w:val="nil"/>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1.015</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0.378</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11.21932</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2.50369</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13.72301</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4.481113876</w:t>
            </w:r>
          </w:p>
        </w:tc>
      </w:tr>
      <w:tr w:rsidR="000D3C86" w:rsidRPr="000D3C86" w:rsidTr="00C978BF">
        <w:trPr>
          <w:trHeight w:val="312"/>
        </w:trPr>
        <w:tc>
          <w:tcPr>
            <w:tcW w:w="1200"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BT3</w:t>
            </w:r>
            <w:r w:rsidR="009827DC">
              <w:rPr>
                <w:rFonts w:ascii="Calibri" w:eastAsia="Times New Roman" w:hAnsi="Calibri" w:cs="Times New Roman"/>
                <w:b/>
                <w:bCs/>
                <w:color w:val="000000"/>
                <w:sz w:val="16"/>
                <w:szCs w:val="16"/>
                <w:lang w:val="es-PE" w:eastAsia="es-PE"/>
              </w:rPr>
              <w:t xml:space="preserve"> (CE = 3,5 dS/m)</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0.903</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0.329</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10.00181</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2.08068</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12.08249</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4.806990984</w:t>
            </w:r>
          </w:p>
        </w:tc>
      </w:tr>
      <w:tr w:rsidR="000D3C86" w:rsidRPr="000D3C86" w:rsidTr="00C978BF">
        <w:trPr>
          <w:trHeight w:val="312"/>
        </w:trPr>
        <w:tc>
          <w:tcPr>
            <w:tcW w:w="1200" w:type="dxa"/>
            <w:vMerge/>
            <w:tcBorders>
              <w:top w:val="nil"/>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0.999</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0.473</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10.75877</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4.49652</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15.25529</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2.392688123</w:t>
            </w:r>
          </w:p>
        </w:tc>
      </w:tr>
      <w:tr w:rsidR="000D3C86" w:rsidRPr="000D3C86" w:rsidTr="00C978BF">
        <w:trPr>
          <w:trHeight w:val="312"/>
        </w:trPr>
        <w:tc>
          <w:tcPr>
            <w:tcW w:w="1200" w:type="dxa"/>
            <w:vMerge/>
            <w:tcBorders>
              <w:top w:val="nil"/>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0.944</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0.335</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10.48105</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1.99523</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12.47628</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5.253053533</w:t>
            </w:r>
          </w:p>
        </w:tc>
      </w:tr>
      <w:tr w:rsidR="000D3C86" w:rsidRPr="000D3C86" w:rsidTr="00C978BF">
        <w:trPr>
          <w:trHeight w:val="312"/>
        </w:trPr>
        <w:tc>
          <w:tcPr>
            <w:tcW w:w="1200"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ET1</w:t>
            </w:r>
            <w:r w:rsidR="009827DC">
              <w:rPr>
                <w:rFonts w:ascii="Calibri" w:eastAsia="Times New Roman" w:hAnsi="Calibri" w:cs="Times New Roman"/>
                <w:b/>
                <w:bCs/>
                <w:color w:val="000000"/>
                <w:sz w:val="16"/>
                <w:szCs w:val="16"/>
                <w:lang w:val="es-PE" w:eastAsia="es-PE"/>
              </w:rPr>
              <w:t xml:space="preserve"> (Control)</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0.721</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0.276</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7.94854</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1.92925</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9.87779</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4.12001555</w:t>
            </w:r>
          </w:p>
        </w:tc>
      </w:tr>
      <w:tr w:rsidR="000D3C86" w:rsidRPr="000D3C86" w:rsidTr="00C978BF">
        <w:trPr>
          <w:trHeight w:val="312"/>
        </w:trPr>
        <w:tc>
          <w:tcPr>
            <w:tcW w:w="1200" w:type="dxa"/>
            <w:vMerge/>
            <w:tcBorders>
              <w:top w:val="nil"/>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0.564</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0.21</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6.2343</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1.39038</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7.62468</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4.483882104</w:t>
            </w:r>
          </w:p>
        </w:tc>
      </w:tr>
      <w:tr w:rsidR="000D3C86" w:rsidRPr="000D3C86" w:rsidTr="00C978BF">
        <w:trPr>
          <w:trHeight w:val="312"/>
        </w:trPr>
        <w:tc>
          <w:tcPr>
            <w:tcW w:w="1200" w:type="dxa"/>
            <w:vMerge/>
            <w:tcBorders>
              <w:top w:val="nil"/>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0.881</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0.327</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9.74123</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2.15108</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11.89231</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4.528529855</w:t>
            </w:r>
          </w:p>
        </w:tc>
      </w:tr>
      <w:tr w:rsidR="000D3C86" w:rsidRPr="000D3C86" w:rsidTr="00C978BF">
        <w:trPr>
          <w:trHeight w:val="312"/>
        </w:trPr>
        <w:tc>
          <w:tcPr>
            <w:tcW w:w="1200"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ET2</w:t>
            </w:r>
            <w:r w:rsidR="009827DC">
              <w:rPr>
                <w:rFonts w:ascii="Calibri" w:eastAsia="Times New Roman" w:hAnsi="Calibri" w:cs="Times New Roman"/>
                <w:b/>
                <w:bCs/>
                <w:color w:val="000000"/>
                <w:sz w:val="16"/>
                <w:szCs w:val="16"/>
                <w:lang w:val="es-PE" w:eastAsia="es-PE"/>
              </w:rPr>
              <w:t xml:space="preserve"> (CE = 3 dS/m)</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0.788</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0.292</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8.71428</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1.91432</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10.6286</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4.55215429</w:t>
            </w:r>
          </w:p>
        </w:tc>
      </w:tr>
      <w:tr w:rsidR="000D3C86" w:rsidRPr="000D3C86" w:rsidTr="00C978BF">
        <w:trPr>
          <w:trHeight w:val="312"/>
        </w:trPr>
        <w:tc>
          <w:tcPr>
            <w:tcW w:w="1200" w:type="dxa"/>
            <w:vMerge/>
            <w:tcBorders>
              <w:top w:val="nil"/>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0.448</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0.178</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4.92062</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1.3297</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6.25032</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3.700548996</w:t>
            </w:r>
          </w:p>
        </w:tc>
      </w:tr>
      <w:tr w:rsidR="000D3C86" w:rsidRPr="000D3C86" w:rsidTr="00C978BF">
        <w:trPr>
          <w:trHeight w:val="312"/>
        </w:trPr>
        <w:tc>
          <w:tcPr>
            <w:tcW w:w="1200" w:type="dxa"/>
            <w:vMerge/>
            <w:tcBorders>
              <w:top w:val="nil"/>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0.774</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0.289</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8.55331</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1.92435</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10.47766</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4.444778756</w:t>
            </w:r>
          </w:p>
        </w:tc>
      </w:tr>
      <w:tr w:rsidR="000D3C86" w:rsidRPr="000D3C86" w:rsidTr="00C978BF">
        <w:trPr>
          <w:trHeight w:val="312"/>
        </w:trPr>
        <w:tc>
          <w:tcPr>
            <w:tcW w:w="1200"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0D3C86" w:rsidRPr="000D3C86" w:rsidRDefault="000D3C86" w:rsidP="000D3C86">
            <w:pPr>
              <w:spacing w:after="0" w:line="240" w:lineRule="auto"/>
              <w:jc w:val="center"/>
              <w:rPr>
                <w:rFonts w:ascii="Calibri" w:eastAsia="Times New Roman" w:hAnsi="Calibri" w:cs="Times New Roman"/>
                <w:b/>
                <w:bCs/>
                <w:color w:val="000000"/>
                <w:sz w:val="16"/>
                <w:szCs w:val="16"/>
                <w:lang w:val="es-PE" w:eastAsia="es-PE"/>
              </w:rPr>
            </w:pPr>
            <w:r w:rsidRPr="000D3C86">
              <w:rPr>
                <w:rFonts w:ascii="Calibri" w:eastAsia="Times New Roman" w:hAnsi="Calibri" w:cs="Times New Roman"/>
                <w:b/>
                <w:bCs/>
                <w:color w:val="000000"/>
                <w:sz w:val="16"/>
                <w:szCs w:val="16"/>
                <w:lang w:val="es-PE" w:eastAsia="es-PE"/>
              </w:rPr>
              <w:t>ET3</w:t>
            </w:r>
            <w:r w:rsidR="009827DC">
              <w:rPr>
                <w:rFonts w:ascii="Calibri" w:eastAsia="Times New Roman" w:hAnsi="Calibri" w:cs="Times New Roman"/>
                <w:b/>
                <w:bCs/>
                <w:color w:val="000000"/>
                <w:sz w:val="16"/>
                <w:szCs w:val="16"/>
                <w:lang w:val="es-PE" w:eastAsia="es-PE"/>
              </w:rPr>
              <w:t xml:space="preserve"> (CE = 3,5 dS/m)</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0.688</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0.263</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7.58577</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1.83355</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9.41932</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4.137203785</w:t>
            </w:r>
          </w:p>
        </w:tc>
      </w:tr>
      <w:tr w:rsidR="000D3C86" w:rsidRPr="000D3C86" w:rsidTr="00C978BF">
        <w:trPr>
          <w:trHeight w:val="312"/>
        </w:trPr>
        <w:tc>
          <w:tcPr>
            <w:tcW w:w="1200" w:type="dxa"/>
            <w:vMerge/>
            <w:tcBorders>
              <w:top w:val="nil"/>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0.8</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0.3</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8.837</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2.015</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10.852</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4.38560794</w:t>
            </w:r>
          </w:p>
        </w:tc>
      </w:tr>
      <w:tr w:rsidR="000D3C86" w:rsidRPr="000D3C86" w:rsidTr="00C978BF">
        <w:trPr>
          <w:trHeight w:val="312"/>
        </w:trPr>
        <w:tc>
          <w:tcPr>
            <w:tcW w:w="1200" w:type="dxa"/>
            <w:vMerge/>
            <w:tcBorders>
              <w:top w:val="nil"/>
              <w:left w:val="single" w:sz="4" w:space="0" w:color="auto"/>
              <w:bottom w:val="single" w:sz="4" w:space="0" w:color="auto"/>
              <w:right w:val="single" w:sz="4" w:space="0" w:color="auto"/>
            </w:tcBorders>
            <w:vAlign w:val="center"/>
            <w:hideMark/>
          </w:tcPr>
          <w:p w:rsidR="000D3C86" w:rsidRPr="000D3C86" w:rsidRDefault="000D3C86" w:rsidP="000D3C86">
            <w:pPr>
              <w:spacing w:after="0" w:line="240" w:lineRule="auto"/>
              <w:rPr>
                <w:rFonts w:ascii="Calibri" w:eastAsia="Times New Roman" w:hAnsi="Calibri" w:cs="Times New Roman"/>
                <w:b/>
                <w:bCs/>
                <w:color w:val="000000"/>
                <w:sz w:val="16"/>
                <w:szCs w:val="16"/>
                <w:lang w:val="es-PE"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0.999</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0.596</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10.41314</w:t>
            </w:r>
          </w:p>
        </w:tc>
        <w:tc>
          <w:tcPr>
            <w:tcW w:w="120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6.97251</w:t>
            </w:r>
          </w:p>
        </w:tc>
        <w:tc>
          <w:tcPr>
            <w:tcW w:w="1420" w:type="dxa"/>
            <w:tcBorders>
              <w:top w:val="nil"/>
              <w:left w:val="nil"/>
              <w:bottom w:val="single" w:sz="4" w:space="0" w:color="auto"/>
              <w:right w:val="single" w:sz="4" w:space="0" w:color="auto"/>
            </w:tcBorders>
            <w:shd w:val="clear" w:color="auto" w:fill="auto"/>
            <w:noWrap/>
            <w:vAlign w:val="center"/>
            <w:hideMark/>
          </w:tcPr>
          <w:p w:rsidR="000D3C86" w:rsidRPr="000D3C86" w:rsidRDefault="000D3C86" w:rsidP="000D3C86">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17.38565</w:t>
            </w:r>
          </w:p>
        </w:tc>
        <w:tc>
          <w:tcPr>
            <w:tcW w:w="1460" w:type="dxa"/>
            <w:tcBorders>
              <w:top w:val="nil"/>
              <w:left w:val="nil"/>
              <w:bottom w:val="single" w:sz="4" w:space="0" w:color="auto"/>
              <w:right w:val="single" w:sz="4" w:space="0" w:color="auto"/>
            </w:tcBorders>
            <w:shd w:val="clear" w:color="auto" w:fill="auto"/>
            <w:noWrap/>
            <w:vAlign w:val="bottom"/>
            <w:hideMark/>
          </w:tcPr>
          <w:p w:rsidR="000D3C86" w:rsidRPr="000D3C86" w:rsidRDefault="000D3C86" w:rsidP="00C978BF">
            <w:pPr>
              <w:spacing w:after="0" w:line="240" w:lineRule="auto"/>
              <w:jc w:val="center"/>
              <w:rPr>
                <w:rFonts w:ascii="Calibri" w:eastAsia="Times New Roman" w:hAnsi="Calibri" w:cs="Times New Roman"/>
                <w:color w:val="000000"/>
                <w:sz w:val="16"/>
                <w:szCs w:val="16"/>
                <w:lang w:val="es-PE" w:eastAsia="es-PE"/>
              </w:rPr>
            </w:pPr>
            <w:r w:rsidRPr="000D3C86">
              <w:rPr>
                <w:rFonts w:ascii="Calibri" w:eastAsia="Times New Roman" w:hAnsi="Calibri" w:cs="Times New Roman"/>
                <w:color w:val="000000"/>
                <w:sz w:val="16"/>
                <w:szCs w:val="16"/>
                <w:lang w:val="es-PE" w:eastAsia="es-PE"/>
              </w:rPr>
              <w:t>1.493456445</w:t>
            </w:r>
          </w:p>
        </w:tc>
      </w:tr>
    </w:tbl>
    <w:p w:rsidR="00C14152" w:rsidRDefault="00C14152" w:rsidP="00C978BF">
      <w:pPr>
        <w:jc w:val="center"/>
        <w:rPr>
          <w:sz w:val="16"/>
        </w:rPr>
      </w:pPr>
    </w:p>
    <w:p w:rsidR="00C978BF" w:rsidRDefault="00C978BF" w:rsidP="00C978BF">
      <w:pPr>
        <w:jc w:val="center"/>
        <w:rPr>
          <w:sz w:val="16"/>
        </w:rPr>
      </w:pPr>
      <w:r>
        <w:rPr>
          <w:sz w:val="16"/>
        </w:rPr>
        <w:lastRenderedPageBreak/>
        <w:t xml:space="preserve">Tabla 1.2: Resultados de las pruebas sobre la clorofila. </w:t>
      </w:r>
      <w:r>
        <w:rPr>
          <w:b/>
          <w:sz w:val="16"/>
        </w:rPr>
        <w:t>Fuente</w:t>
      </w:r>
      <w:r>
        <w:rPr>
          <w:sz w:val="16"/>
        </w:rPr>
        <w:t>: Elaboración propia</w:t>
      </w:r>
    </w:p>
    <w:p w:rsidR="00C978BF" w:rsidRPr="00C978BF" w:rsidRDefault="00C978BF" w:rsidP="00C978BF">
      <w:pPr>
        <w:jc w:val="center"/>
        <w:rPr>
          <w:sz w:val="16"/>
        </w:rPr>
      </w:pPr>
    </w:p>
    <w:p w:rsidR="00C978BF" w:rsidRPr="00C978BF" w:rsidRDefault="00C978BF" w:rsidP="00C978BF">
      <w:pPr>
        <w:pStyle w:val="Sinespaciado"/>
        <w:rPr>
          <w:sz w:val="16"/>
        </w:rPr>
      </w:pPr>
      <w:r w:rsidRPr="00C978BF">
        <w:rPr>
          <w:noProof/>
          <w:sz w:val="16"/>
          <w:lang w:val="es-PE" w:eastAsia="es-PE"/>
        </w:rPr>
        <w:drawing>
          <wp:inline distT="0" distB="0" distL="0" distR="0">
            <wp:extent cx="5146540" cy="2684199"/>
            <wp:effectExtent l="19050" t="0" r="16010" b="1851"/>
            <wp:docPr id="1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4152" w:rsidRDefault="00C14152" w:rsidP="00C978BF">
      <w:pPr>
        <w:pStyle w:val="Sinespaciado"/>
        <w:rPr>
          <w:sz w:val="16"/>
        </w:rPr>
      </w:pPr>
    </w:p>
    <w:p w:rsidR="00C978BF" w:rsidRPr="00C978BF" w:rsidRDefault="00C978BF" w:rsidP="00C978BF">
      <w:pPr>
        <w:pStyle w:val="Sinespaciado"/>
        <w:rPr>
          <w:sz w:val="16"/>
        </w:rPr>
      </w:pPr>
      <w:r w:rsidRPr="00C978BF">
        <w:rPr>
          <w:sz w:val="16"/>
        </w:rPr>
        <w:t>Gráfico 1.1: Distribución de las clorofilas en betarraga</w:t>
      </w:r>
      <w:r>
        <w:rPr>
          <w:sz w:val="16"/>
        </w:rPr>
        <w:t>.</w:t>
      </w:r>
      <w:r w:rsidR="00605A93">
        <w:rPr>
          <w:sz w:val="16"/>
        </w:rPr>
        <w:t xml:space="preserve"> </w:t>
      </w:r>
      <w:r w:rsidR="00605A93">
        <w:rPr>
          <w:b/>
          <w:sz w:val="16"/>
        </w:rPr>
        <w:t>Fuente</w:t>
      </w:r>
      <w:r w:rsidR="00605A93">
        <w:rPr>
          <w:sz w:val="16"/>
        </w:rPr>
        <w:t>: Elaboración propia</w:t>
      </w:r>
    </w:p>
    <w:p w:rsidR="00C978BF" w:rsidRPr="00E32E52" w:rsidRDefault="00C978BF" w:rsidP="00C978BF">
      <w:pPr>
        <w:pStyle w:val="Sinespaciado"/>
        <w:rPr>
          <w:sz w:val="2"/>
        </w:rPr>
      </w:pPr>
    </w:p>
    <w:p w:rsidR="00C978BF" w:rsidRPr="00E32E52" w:rsidRDefault="00C978BF" w:rsidP="00C978BF">
      <w:pPr>
        <w:pStyle w:val="Sinespaciado"/>
        <w:rPr>
          <w:sz w:val="2"/>
        </w:rPr>
      </w:pPr>
      <w:r w:rsidRPr="00C978BF">
        <w:rPr>
          <w:noProof/>
          <w:lang w:val="es-PE" w:eastAsia="es-PE"/>
        </w:rPr>
        <w:drawing>
          <wp:inline distT="0" distB="0" distL="0" distR="0">
            <wp:extent cx="5146540" cy="2431915"/>
            <wp:effectExtent l="19050" t="0" r="16010" b="6485"/>
            <wp:docPr id="2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4152" w:rsidRDefault="00C14152" w:rsidP="00C978BF">
      <w:pPr>
        <w:pStyle w:val="Sinespaciado"/>
        <w:rPr>
          <w:sz w:val="16"/>
        </w:rPr>
      </w:pPr>
    </w:p>
    <w:p w:rsidR="00C978BF" w:rsidRDefault="00605A93" w:rsidP="00C978BF">
      <w:pPr>
        <w:pStyle w:val="Sinespaciado"/>
        <w:rPr>
          <w:sz w:val="16"/>
        </w:rPr>
      </w:pPr>
      <w:r>
        <w:rPr>
          <w:sz w:val="16"/>
        </w:rPr>
        <w:t>Gráfico 1.2</w:t>
      </w:r>
      <w:r w:rsidR="00C978BF" w:rsidRPr="00C978BF">
        <w:rPr>
          <w:sz w:val="16"/>
        </w:rPr>
        <w:t>: Distribución de las clorofilas en espinaca</w:t>
      </w:r>
      <w:r>
        <w:rPr>
          <w:sz w:val="16"/>
        </w:rPr>
        <w:t xml:space="preserve">. </w:t>
      </w:r>
      <w:r>
        <w:rPr>
          <w:b/>
          <w:sz w:val="16"/>
        </w:rPr>
        <w:t>Fuente</w:t>
      </w:r>
      <w:r>
        <w:rPr>
          <w:sz w:val="16"/>
        </w:rPr>
        <w:t>: Elaboración propia</w:t>
      </w:r>
    </w:p>
    <w:p w:rsidR="00605A93" w:rsidRPr="00E32E52" w:rsidRDefault="00605A93" w:rsidP="00C978BF">
      <w:pPr>
        <w:pStyle w:val="Sinespaciado"/>
        <w:rPr>
          <w:sz w:val="2"/>
        </w:rPr>
      </w:pPr>
    </w:p>
    <w:p w:rsidR="00C978BF" w:rsidRDefault="00605A93" w:rsidP="00C978BF">
      <w:pPr>
        <w:pStyle w:val="Sinespaciado"/>
        <w:rPr>
          <w:sz w:val="16"/>
        </w:rPr>
      </w:pPr>
      <w:r w:rsidRPr="00605A93">
        <w:rPr>
          <w:noProof/>
          <w:sz w:val="16"/>
          <w:lang w:val="es-PE" w:eastAsia="es-PE"/>
        </w:rPr>
        <w:drawing>
          <wp:inline distT="0" distB="0" distL="0" distR="0">
            <wp:extent cx="5153025" cy="2362200"/>
            <wp:effectExtent l="19050" t="0" r="9525" b="0"/>
            <wp:docPr id="2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14152" w:rsidRDefault="00C14152" w:rsidP="00C978BF">
      <w:pPr>
        <w:pStyle w:val="Sinespaciado"/>
        <w:rPr>
          <w:sz w:val="16"/>
        </w:rPr>
      </w:pPr>
    </w:p>
    <w:p w:rsidR="00605A93" w:rsidRPr="00C978BF" w:rsidRDefault="00605A93" w:rsidP="00C978BF">
      <w:pPr>
        <w:pStyle w:val="Sinespaciado"/>
        <w:rPr>
          <w:sz w:val="16"/>
        </w:rPr>
      </w:pPr>
      <w:r>
        <w:rPr>
          <w:sz w:val="16"/>
        </w:rPr>
        <w:t xml:space="preserve">Gráfico 1.3: Total de clorofilas por tratamientos, indicados por la salinidad. </w:t>
      </w:r>
      <w:r>
        <w:rPr>
          <w:b/>
          <w:sz w:val="16"/>
        </w:rPr>
        <w:t>Fuente</w:t>
      </w:r>
      <w:r>
        <w:rPr>
          <w:sz w:val="16"/>
        </w:rPr>
        <w:t>: Elaboración propia</w:t>
      </w:r>
    </w:p>
    <w:p w:rsidR="00C14152" w:rsidRDefault="00C14152" w:rsidP="004B25B2">
      <w:pPr>
        <w:pStyle w:val="Sinespaciado"/>
        <w:jc w:val="center"/>
      </w:pPr>
      <w:r w:rsidRPr="004B25B2">
        <w:rPr>
          <w:i/>
          <w:noProof/>
          <w:lang w:val="es-PE" w:eastAsia="es-PE"/>
        </w:rPr>
        <w:lastRenderedPageBreak/>
        <w:drawing>
          <wp:inline distT="0" distB="0" distL="0" distR="0">
            <wp:extent cx="3486150" cy="2266950"/>
            <wp:effectExtent l="19050" t="0" r="19050" b="0"/>
            <wp:docPr id="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4152" w:rsidRDefault="00C14152" w:rsidP="004B25B2">
      <w:pPr>
        <w:pStyle w:val="Sinespaciado"/>
        <w:jc w:val="center"/>
        <w:rPr>
          <w:sz w:val="16"/>
        </w:rPr>
      </w:pPr>
    </w:p>
    <w:p w:rsidR="004B25B2" w:rsidRDefault="004B25B2" w:rsidP="004B25B2">
      <w:pPr>
        <w:pStyle w:val="Sinespaciado"/>
        <w:jc w:val="center"/>
      </w:pPr>
      <w:r w:rsidRPr="004B25B2">
        <w:rPr>
          <w:sz w:val="16"/>
        </w:rPr>
        <w:t>Gráfico 1.4: Índice de clorofila a por clorofila b, respecto al nivel de salinidad.</w:t>
      </w:r>
      <w:r w:rsidRPr="004B25B2">
        <w:rPr>
          <w:sz w:val="10"/>
        </w:rPr>
        <w:t xml:space="preserve"> </w:t>
      </w:r>
      <w:r>
        <w:rPr>
          <w:b/>
          <w:sz w:val="16"/>
        </w:rPr>
        <w:t>Fuente</w:t>
      </w:r>
      <w:r>
        <w:rPr>
          <w:sz w:val="16"/>
        </w:rPr>
        <w:t>: Elaboración propia</w:t>
      </w:r>
    </w:p>
    <w:p w:rsidR="004B25B2" w:rsidRDefault="004B25B2" w:rsidP="007C559C">
      <w:pPr>
        <w:spacing w:after="0" w:line="240" w:lineRule="auto"/>
        <w:jc w:val="both"/>
        <w:rPr>
          <w:i/>
        </w:rPr>
      </w:pPr>
    </w:p>
    <w:p w:rsidR="00957D52" w:rsidRDefault="00FB4824" w:rsidP="007C559C">
      <w:pPr>
        <w:spacing w:after="0"/>
        <w:jc w:val="both"/>
      </w:pPr>
      <w:r>
        <w:rPr>
          <w:i/>
        </w:rPr>
        <w:t xml:space="preserve">Sobre la prueba de nitrato reductasa en muestras de </w:t>
      </w:r>
      <w:r>
        <w:t xml:space="preserve">B. vulgaris: </w:t>
      </w:r>
      <w:r w:rsidR="00275BA6" w:rsidRPr="008C3859">
        <w:t xml:space="preserve">Se observa una </w:t>
      </w:r>
      <w:r w:rsidR="00320FC3" w:rsidRPr="008C3859">
        <w:t xml:space="preserve">correlación negativa en la presencia de nitrato reductasa conforme el estrés del tratamiento es mayor. Esto concuerda </w:t>
      </w:r>
      <w:r w:rsidR="008C3859" w:rsidRPr="008C3859">
        <w:t>plenamente con los valores esperados, ya que un mecanismo de resistencia al estrés salino consiste en la acumulación de iones de compuestos derivados del nitrógeno en los tejidos, así como el decrecimiento de los niveles de nitrato reductasa, debido a que las plantas asimilan el nitrógeno por vías secundarias en estos</w:t>
      </w:r>
      <w:r w:rsidR="00D06ED9">
        <w:t xml:space="preserve"> casos de</w:t>
      </w:r>
      <w:r w:rsidR="008C3859" w:rsidRPr="008C3859">
        <w:t xml:space="preserve"> estrés (</w:t>
      </w:r>
      <w:r w:rsidR="00D06ED9" w:rsidRPr="008C3859">
        <w:t>Márquez, Betti, García-Calderón</w:t>
      </w:r>
      <w:r w:rsidR="00D06ED9">
        <w:t>,</w:t>
      </w:r>
      <w:r w:rsidR="00D06ED9" w:rsidRPr="008C3859">
        <w:t xml:space="preserve"> Credali</w:t>
      </w:r>
      <w:r w:rsidR="00D06ED9">
        <w:t xml:space="preserve">, </w:t>
      </w:r>
      <w:r w:rsidR="00D06ED9" w:rsidRPr="008C3859">
        <w:t>Díaz</w:t>
      </w:r>
      <w:r w:rsidR="00D06ED9">
        <w:t xml:space="preserve"> y</w:t>
      </w:r>
      <w:r w:rsidR="00D06ED9" w:rsidRPr="008C3859">
        <w:t xml:space="preserve"> Monza</w:t>
      </w:r>
      <w:r w:rsidR="00D06ED9">
        <w:t>; 2007</w:t>
      </w:r>
      <w:r w:rsidR="008C3859" w:rsidRPr="008C3859">
        <w:t>).</w:t>
      </w:r>
      <w:r w:rsidR="00140775">
        <w:t xml:space="preserve"> Al ser experimentos de ecofisiología, los valores de R</w:t>
      </w:r>
      <w:r w:rsidR="00140775" w:rsidRPr="00140775">
        <w:rPr>
          <w:vertAlign w:val="superscript"/>
        </w:rPr>
        <w:t>2</w:t>
      </w:r>
      <w:r w:rsidR="00140775">
        <w:t xml:space="preserve"> son aceptables a partir de 0.5</w:t>
      </w:r>
      <w:r w:rsidR="00FB1345">
        <w:t xml:space="preserve"> (Sánchez, comunicación personal)</w:t>
      </w:r>
      <w:r w:rsidR="00140775">
        <w:t>.</w:t>
      </w:r>
    </w:p>
    <w:tbl>
      <w:tblPr>
        <w:tblW w:w="5931" w:type="dxa"/>
        <w:jc w:val="center"/>
        <w:tblInd w:w="65" w:type="dxa"/>
        <w:tblCellMar>
          <w:left w:w="70" w:type="dxa"/>
          <w:right w:w="70" w:type="dxa"/>
        </w:tblCellMar>
        <w:tblLook w:val="04A0"/>
      </w:tblPr>
      <w:tblGrid>
        <w:gridCol w:w="1100"/>
        <w:gridCol w:w="423"/>
        <w:gridCol w:w="3044"/>
        <w:gridCol w:w="1364"/>
      </w:tblGrid>
      <w:tr w:rsidR="00FB4824" w:rsidRPr="00A637E9" w:rsidTr="00A637E9">
        <w:trPr>
          <w:trHeight w:val="84"/>
          <w:jc w:val="center"/>
        </w:trPr>
        <w:tc>
          <w:tcPr>
            <w:tcW w:w="1100"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
          <w:p w:rsidR="00FB4824" w:rsidRPr="00A637E9" w:rsidRDefault="00FB4824" w:rsidP="00FB4824">
            <w:pPr>
              <w:spacing w:after="0" w:line="240" w:lineRule="auto"/>
              <w:jc w:val="center"/>
              <w:rPr>
                <w:rFonts w:ascii="Calibri" w:eastAsia="Times New Roman" w:hAnsi="Calibri" w:cs="Times New Roman"/>
                <w:b/>
                <w:bCs/>
                <w:color w:val="FFFFFF"/>
                <w:sz w:val="14"/>
                <w:szCs w:val="16"/>
                <w:lang w:val="es-PE" w:eastAsia="es-PE"/>
              </w:rPr>
            </w:pPr>
            <w:r w:rsidRPr="00A637E9">
              <w:rPr>
                <w:rFonts w:ascii="Calibri" w:eastAsia="Times New Roman" w:hAnsi="Calibri" w:cs="Times New Roman"/>
                <w:b/>
                <w:bCs/>
                <w:color w:val="FFFFFF"/>
                <w:sz w:val="14"/>
                <w:szCs w:val="16"/>
                <w:lang w:val="es-PE" w:eastAsia="es-PE"/>
              </w:rPr>
              <w:t>Tratamiento</w:t>
            </w:r>
          </w:p>
        </w:tc>
        <w:tc>
          <w:tcPr>
            <w:tcW w:w="423" w:type="dxa"/>
            <w:tcBorders>
              <w:top w:val="single" w:sz="4" w:space="0" w:color="auto"/>
              <w:left w:val="nil"/>
              <w:bottom w:val="single" w:sz="4" w:space="0" w:color="auto"/>
              <w:right w:val="single" w:sz="4" w:space="0" w:color="auto"/>
            </w:tcBorders>
            <w:shd w:val="clear" w:color="000000" w:fill="BFBFBF"/>
            <w:noWrap/>
            <w:vAlign w:val="center"/>
            <w:hideMark/>
          </w:tcPr>
          <w:p w:rsidR="00FB4824" w:rsidRPr="00A637E9" w:rsidRDefault="00FB4824" w:rsidP="00FB4824">
            <w:pPr>
              <w:spacing w:after="0" w:line="240" w:lineRule="auto"/>
              <w:jc w:val="center"/>
              <w:rPr>
                <w:rFonts w:ascii="Calibri" w:eastAsia="Times New Roman" w:hAnsi="Calibri" w:cs="Times New Roman"/>
                <w:b/>
                <w:bCs/>
                <w:color w:val="000000"/>
                <w:sz w:val="14"/>
                <w:szCs w:val="16"/>
                <w:lang w:val="es-PE" w:eastAsia="es-PE"/>
              </w:rPr>
            </w:pPr>
            <w:r w:rsidRPr="00A637E9">
              <w:rPr>
                <w:rFonts w:ascii="Calibri" w:eastAsia="Times New Roman" w:hAnsi="Calibri" w:cs="Times New Roman"/>
                <w:b/>
                <w:bCs/>
                <w:color w:val="000000"/>
                <w:sz w:val="14"/>
                <w:szCs w:val="16"/>
                <w:lang w:val="es-PE" w:eastAsia="es-PE"/>
              </w:rPr>
              <w:t>CE</w:t>
            </w:r>
          </w:p>
        </w:tc>
        <w:tc>
          <w:tcPr>
            <w:tcW w:w="3044" w:type="dxa"/>
            <w:tcBorders>
              <w:top w:val="single" w:sz="4" w:space="0" w:color="auto"/>
              <w:left w:val="nil"/>
              <w:bottom w:val="single" w:sz="4" w:space="0" w:color="auto"/>
              <w:right w:val="single" w:sz="4" w:space="0" w:color="auto"/>
            </w:tcBorders>
            <w:shd w:val="clear" w:color="000000" w:fill="BFBFBF"/>
            <w:vAlign w:val="center"/>
            <w:hideMark/>
          </w:tcPr>
          <w:p w:rsidR="00FB4824" w:rsidRPr="00A637E9" w:rsidRDefault="00FB4824" w:rsidP="00FB4824">
            <w:pPr>
              <w:spacing w:after="0" w:line="240" w:lineRule="auto"/>
              <w:jc w:val="center"/>
              <w:rPr>
                <w:rFonts w:ascii="Calibri" w:eastAsia="Times New Roman" w:hAnsi="Calibri" w:cs="Times New Roman"/>
                <w:b/>
                <w:bCs/>
                <w:color w:val="000000"/>
                <w:sz w:val="14"/>
                <w:szCs w:val="16"/>
                <w:lang w:val="es-PE" w:eastAsia="es-PE"/>
              </w:rPr>
            </w:pPr>
            <w:r w:rsidRPr="00A637E9">
              <w:rPr>
                <w:rFonts w:ascii="Calibri" w:eastAsia="Times New Roman" w:hAnsi="Calibri" w:cs="Times New Roman"/>
                <w:b/>
                <w:bCs/>
                <w:color w:val="000000"/>
                <w:sz w:val="14"/>
                <w:szCs w:val="16"/>
                <w:lang w:val="es-PE" w:eastAsia="es-PE"/>
              </w:rPr>
              <w:t>Absorbancia a 540 nm (valores corregidos)</w:t>
            </w:r>
          </w:p>
        </w:tc>
        <w:tc>
          <w:tcPr>
            <w:tcW w:w="1364" w:type="dxa"/>
            <w:tcBorders>
              <w:top w:val="single" w:sz="4" w:space="0" w:color="auto"/>
              <w:left w:val="nil"/>
              <w:bottom w:val="single" w:sz="4" w:space="0" w:color="auto"/>
              <w:right w:val="single" w:sz="4" w:space="0" w:color="auto"/>
            </w:tcBorders>
            <w:shd w:val="clear" w:color="000000" w:fill="BFBFBF"/>
            <w:noWrap/>
            <w:vAlign w:val="center"/>
            <w:hideMark/>
          </w:tcPr>
          <w:p w:rsidR="00FB4824" w:rsidRPr="00A637E9" w:rsidRDefault="00FB4824" w:rsidP="00FB4824">
            <w:pPr>
              <w:spacing w:after="0" w:line="240" w:lineRule="auto"/>
              <w:jc w:val="center"/>
              <w:rPr>
                <w:rFonts w:ascii="Calibri" w:eastAsia="Times New Roman" w:hAnsi="Calibri" w:cs="Times New Roman"/>
                <w:b/>
                <w:bCs/>
                <w:color w:val="000000"/>
                <w:sz w:val="14"/>
                <w:szCs w:val="16"/>
                <w:lang w:val="es-PE" w:eastAsia="es-PE"/>
              </w:rPr>
            </w:pPr>
            <w:r w:rsidRPr="00A637E9">
              <w:rPr>
                <w:rFonts w:ascii="Calibri" w:eastAsia="Times New Roman" w:hAnsi="Calibri" w:cs="Times New Roman"/>
                <w:b/>
                <w:bCs/>
                <w:color w:val="000000"/>
                <w:sz w:val="14"/>
                <w:szCs w:val="16"/>
                <w:lang w:val="es-PE" w:eastAsia="es-PE"/>
              </w:rPr>
              <w:t>Función</w:t>
            </w:r>
            <w:r w:rsidR="00DF12D8" w:rsidRPr="00A637E9">
              <w:rPr>
                <w:rFonts w:ascii="Calibri" w:eastAsia="Times New Roman" w:hAnsi="Calibri" w:cs="Times New Roman"/>
                <w:b/>
                <w:bCs/>
                <w:color w:val="000000"/>
                <w:sz w:val="14"/>
                <w:szCs w:val="16"/>
                <w:lang w:val="es-PE" w:eastAsia="es-PE"/>
              </w:rPr>
              <w:t xml:space="preserve"> Estándar</w:t>
            </w:r>
          </w:p>
        </w:tc>
      </w:tr>
      <w:tr w:rsidR="00FB4824" w:rsidRPr="00A637E9" w:rsidTr="00962627">
        <w:trPr>
          <w:trHeight w:val="140"/>
          <w:jc w:val="center"/>
        </w:trPr>
        <w:tc>
          <w:tcPr>
            <w:tcW w:w="1100"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FB4824" w:rsidRPr="00A637E9" w:rsidRDefault="00FB4824" w:rsidP="00FB4824">
            <w:pPr>
              <w:spacing w:after="0" w:line="240" w:lineRule="auto"/>
              <w:jc w:val="center"/>
              <w:rPr>
                <w:rFonts w:ascii="Calibri" w:eastAsia="Times New Roman" w:hAnsi="Calibri" w:cs="Times New Roman"/>
                <w:b/>
                <w:bCs/>
                <w:color w:val="000000"/>
                <w:sz w:val="14"/>
                <w:szCs w:val="16"/>
                <w:lang w:val="es-PE" w:eastAsia="es-PE"/>
              </w:rPr>
            </w:pPr>
            <w:r w:rsidRPr="00A637E9">
              <w:rPr>
                <w:rFonts w:ascii="Calibri" w:eastAsia="Times New Roman" w:hAnsi="Calibri" w:cs="Times New Roman"/>
                <w:b/>
                <w:bCs/>
                <w:color w:val="000000"/>
                <w:sz w:val="14"/>
                <w:szCs w:val="16"/>
                <w:lang w:val="es-PE" w:eastAsia="es-PE"/>
              </w:rPr>
              <w:t>BT1</w:t>
            </w:r>
            <w:r w:rsidR="00FB1345" w:rsidRPr="00A637E9">
              <w:rPr>
                <w:rFonts w:ascii="Calibri" w:eastAsia="Times New Roman" w:hAnsi="Calibri" w:cs="Times New Roman"/>
                <w:b/>
                <w:bCs/>
                <w:color w:val="000000"/>
                <w:sz w:val="14"/>
                <w:szCs w:val="16"/>
                <w:lang w:val="es-PE" w:eastAsia="es-PE"/>
              </w:rPr>
              <w:t xml:space="preserve"> (Control)</w:t>
            </w:r>
          </w:p>
        </w:tc>
        <w:tc>
          <w:tcPr>
            <w:tcW w:w="423" w:type="dxa"/>
            <w:tcBorders>
              <w:top w:val="nil"/>
              <w:left w:val="nil"/>
              <w:bottom w:val="single" w:sz="4" w:space="0" w:color="auto"/>
              <w:right w:val="single" w:sz="4" w:space="0" w:color="auto"/>
            </w:tcBorders>
            <w:shd w:val="clear" w:color="auto" w:fill="auto"/>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2</w:t>
            </w:r>
          </w:p>
        </w:tc>
        <w:tc>
          <w:tcPr>
            <w:tcW w:w="304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0.896</w:t>
            </w:r>
          </w:p>
        </w:tc>
        <w:tc>
          <w:tcPr>
            <w:tcW w:w="136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0.05376</w:t>
            </w:r>
          </w:p>
        </w:tc>
      </w:tr>
      <w:tr w:rsidR="00FB4824" w:rsidRPr="00A637E9" w:rsidTr="00962627">
        <w:trPr>
          <w:trHeight w:val="131"/>
          <w:jc w:val="center"/>
        </w:trPr>
        <w:tc>
          <w:tcPr>
            <w:tcW w:w="1100" w:type="dxa"/>
            <w:vMerge/>
            <w:tcBorders>
              <w:top w:val="nil"/>
              <w:left w:val="single" w:sz="4" w:space="0" w:color="auto"/>
              <w:bottom w:val="single" w:sz="4" w:space="0" w:color="auto"/>
              <w:right w:val="single" w:sz="4" w:space="0" w:color="auto"/>
            </w:tcBorders>
            <w:vAlign w:val="center"/>
            <w:hideMark/>
          </w:tcPr>
          <w:p w:rsidR="00FB4824" w:rsidRPr="00A637E9" w:rsidRDefault="00FB4824" w:rsidP="00FB4824">
            <w:pPr>
              <w:spacing w:after="0" w:line="240" w:lineRule="auto"/>
              <w:rPr>
                <w:rFonts w:ascii="Calibri" w:eastAsia="Times New Roman" w:hAnsi="Calibri" w:cs="Times New Roman"/>
                <w:b/>
                <w:bCs/>
                <w:color w:val="000000"/>
                <w:sz w:val="14"/>
                <w:szCs w:val="16"/>
                <w:lang w:val="es-PE" w:eastAsia="es-PE"/>
              </w:rPr>
            </w:pPr>
          </w:p>
        </w:tc>
        <w:tc>
          <w:tcPr>
            <w:tcW w:w="423" w:type="dxa"/>
            <w:tcBorders>
              <w:top w:val="nil"/>
              <w:left w:val="nil"/>
              <w:bottom w:val="single" w:sz="4" w:space="0" w:color="auto"/>
              <w:right w:val="single" w:sz="4" w:space="0" w:color="auto"/>
            </w:tcBorders>
            <w:shd w:val="clear" w:color="auto" w:fill="auto"/>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2</w:t>
            </w:r>
          </w:p>
        </w:tc>
        <w:tc>
          <w:tcPr>
            <w:tcW w:w="304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0.820</w:t>
            </w:r>
          </w:p>
        </w:tc>
        <w:tc>
          <w:tcPr>
            <w:tcW w:w="136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0.0492</w:t>
            </w:r>
          </w:p>
        </w:tc>
      </w:tr>
      <w:tr w:rsidR="00FB4824" w:rsidRPr="00A637E9" w:rsidTr="00962627">
        <w:trPr>
          <w:trHeight w:val="92"/>
          <w:jc w:val="center"/>
        </w:trPr>
        <w:tc>
          <w:tcPr>
            <w:tcW w:w="1100" w:type="dxa"/>
            <w:vMerge/>
            <w:tcBorders>
              <w:top w:val="nil"/>
              <w:left w:val="single" w:sz="4" w:space="0" w:color="auto"/>
              <w:bottom w:val="single" w:sz="4" w:space="0" w:color="auto"/>
              <w:right w:val="single" w:sz="4" w:space="0" w:color="auto"/>
            </w:tcBorders>
            <w:vAlign w:val="center"/>
            <w:hideMark/>
          </w:tcPr>
          <w:p w:rsidR="00FB4824" w:rsidRPr="00A637E9" w:rsidRDefault="00FB4824" w:rsidP="00FB4824">
            <w:pPr>
              <w:spacing w:after="0" w:line="240" w:lineRule="auto"/>
              <w:rPr>
                <w:rFonts w:ascii="Calibri" w:eastAsia="Times New Roman" w:hAnsi="Calibri" w:cs="Times New Roman"/>
                <w:b/>
                <w:bCs/>
                <w:color w:val="000000"/>
                <w:sz w:val="14"/>
                <w:szCs w:val="16"/>
                <w:lang w:val="es-PE" w:eastAsia="es-PE"/>
              </w:rPr>
            </w:pPr>
          </w:p>
        </w:tc>
        <w:tc>
          <w:tcPr>
            <w:tcW w:w="423" w:type="dxa"/>
            <w:tcBorders>
              <w:top w:val="nil"/>
              <w:left w:val="nil"/>
              <w:bottom w:val="single" w:sz="4" w:space="0" w:color="auto"/>
              <w:right w:val="single" w:sz="4" w:space="0" w:color="auto"/>
            </w:tcBorders>
            <w:shd w:val="clear" w:color="auto" w:fill="auto"/>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2</w:t>
            </w:r>
          </w:p>
        </w:tc>
        <w:tc>
          <w:tcPr>
            <w:tcW w:w="304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0.745</w:t>
            </w:r>
          </w:p>
        </w:tc>
        <w:tc>
          <w:tcPr>
            <w:tcW w:w="136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0.0447</w:t>
            </w:r>
          </w:p>
        </w:tc>
      </w:tr>
      <w:tr w:rsidR="00FB4824" w:rsidRPr="00A637E9" w:rsidTr="00962627">
        <w:trPr>
          <w:trHeight w:val="70"/>
          <w:jc w:val="center"/>
        </w:trPr>
        <w:tc>
          <w:tcPr>
            <w:tcW w:w="1100"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FB4824" w:rsidRPr="00A637E9" w:rsidRDefault="00FB4824" w:rsidP="00FB4824">
            <w:pPr>
              <w:spacing w:after="0" w:line="240" w:lineRule="auto"/>
              <w:jc w:val="center"/>
              <w:rPr>
                <w:rFonts w:ascii="Calibri" w:eastAsia="Times New Roman" w:hAnsi="Calibri" w:cs="Times New Roman"/>
                <w:b/>
                <w:bCs/>
                <w:color w:val="000000"/>
                <w:sz w:val="14"/>
                <w:szCs w:val="16"/>
                <w:lang w:val="es-PE" w:eastAsia="es-PE"/>
              </w:rPr>
            </w:pPr>
            <w:r w:rsidRPr="00A637E9">
              <w:rPr>
                <w:rFonts w:ascii="Calibri" w:eastAsia="Times New Roman" w:hAnsi="Calibri" w:cs="Times New Roman"/>
                <w:b/>
                <w:bCs/>
                <w:color w:val="000000"/>
                <w:sz w:val="14"/>
                <w:szCs w:val="16"/>
                <w:lang w:val="es-PE" w:eastAsia="es-PE"/>
              </w:rPr>
              <w:t>BT2</w:t>
            </w:r>
          </w:p>
        </w:tc>
        <w:tc>
          <w:tcPr>
            <w:tcW w:w="423"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3</w:t>
            </w:r>
          </w:p>
        </w:tc>
        <w:tc>
          <w:tcPr>
            <w:tcW w:w="304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0.736</w:t>
            </w:r>
          </w:p>
        </w:tc>
        <w:tc>
          <w:tcPr>
            <w:tcW w:w="136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0.04416</w:t>
            </w:r>
          </w:p>
        </w:tc>
      </w:tr>
      <w:tr w:rsidR="00FB4824" w:rsidRPr="00A637E9" w:rsidTr="00962627">
        <w:trPr>
          <w:trHeight w:val="70"/>
          <w:jc w:val="center"/>
        </w:trPr>
        <w:tc>
          <w:tcPr>
            <w:tcW w:w="1100" w:type="dxa"/>
            <w:vMerge/>
            <w:tcBorders>
              <w:top w:val="nil"/>
              <w:left w:val="single" w:sz="4" w:space="0" w:color="auto"/>
              <w:bottom w:val="single" w:sz="4" w:space="0" w:color="auto"/>
              <w:right w:val="single" w:sz="4" w:space="0" w:color="auto"/>
            </w:tcBorders>
            <w:vAlign w:val="center"/>
            <w:hideMark/>
          </w:tcPr>
          <w:p w:rsidR="00FB4824" w:rsidRPr="00A637E9" w:rsidRDefault="00FB4824" w:rsidP="00FB4824">
            <w:pPr>
              <w:spacing w:after="0" w:line="240" w:lineRule="auto"/>
              <w:rPr>
                <w:rFonts w:ascii="Calibri" w:eastAsia="Times New Roman" w:hAnsi="Calibri" w:cs="Times New Roman"/>
                <w:b/>
                <w:bCs/>
                <w:color w:val="000000"/>
                <w:sz w:val="14"/>
                <w:szCs w:val="16"/>
                <w:lang w:val="es-PE" w:eastAsia="es-PE"/>
              </w:rPr>
            </w:pPr>
          </w:p>
        </w:tc>
        <w:tc>
          <w:tcPr>
            <w:tcW w:w="423"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3</w:t>
            </w:r>
          </w:p>
        </w:tc>
        <w:tc>
          <w:tcPr>
            <w:tcW w:w="304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0.552</w:t>
            </w:r>
          </w:p>
        </w:tc>
        <w:tc>
          <w:tcPr>
            <w:tcW w:w="136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0.03312</w:t>
            </w:r>
          </w:p>
        </w:tc>
      </w:tr>
      <w:tr w:rsidR="00FB4824" w:rsidRPr="00A637E9" w:rsidTr="00962627">
        <w:trPr>
          <w:trHeight w:val="70"/>
          <w:jc w:val="center"/>
        </w:trPr>
        <w:tc>
          <w:tcPr>
            <w:tcW w:w="1100" w:type="dxa"/>
            <w:vMerge/>
            <w:tcBorders>
              <w:top w:val="nil"/>
              <w:left w:val="single" w:sz="4" w:space="0" w:color="auto"/>
              <w:bottom w:val="single" w:sz="4" w:space="0" w:color="auto"/>
              <w:right w:val="single" w:sz="4" w:space="0" w:color="auto"/>
            </w:tcBorders>
            <w:vAlign w:val="center"/>
            <w:hideMark/>
          </w:tcPr>
          <w:p w:rsidR="00FB4824" w:rsidRPr="00A637E9" w:rsidRDefault="00FB4824" w:rsidP="00FB4824">
            <w:pPr>
              <w:spacing w:after="0" w:line="240" w:lineRule="auto"/>
              <w:rPr>
                <w:rFonts w:ascii="Calibri" w:eastAsia="Times New Roman" w:hAnsi="Calibri" w:cs="Times New Roman"/>
                <w:b/>
                <w:bCs/>
                <w:color w:val="000000"/>
                <w:sz w:val="14"/>
                <w:szCs w:val="16"/>
                <w:lang w:val="es-PE" w:eastAsia="es-PE"/>
              </w:rPr>
            </w:pPr>
          </w:p>
        </w:tc>
        <w:tc>
          <w:tcPr>
            <w:tcW w:w="423"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3</w:t>
            </w:r>
          </w:p>
        </w:tc>
        <w:tc>
          <w:tcPr>
            <w:tcW w:w="304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0.644</w:t>
            </w:r>
          </w:p>
        </w:tc>
        <w:tc>
          <w:tcPr>
            <w:tcW w:w="136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0.03864</w:t>
            </w:r>
          </w:p>
        </w:tc>
      </w:tr>
      <w:tr w:rsidR="00FB4824" w:rsidRPr="00A637E9" w:rsidTr="00962627">
        <w:trPr>
          <w:trHeight w:val="70"/>
          <w:jc w:val="center"/>
        </w:trPr>
        <w:tc>
          <w:tcPr>
            <w:tcW w:w="1100"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FB4824" w:rsidRPr="00A637E9" w:rsidRDefault="00FB4824" w:rsidP="00FB4824">
            <w:pPr>
              <w:spacing w:after="0" w:line="240" w:lineRule="auto"/>
              <w:jc w:val="center"/>
              <w:rPr>
                <w:rFonts w:ascii="Calibri" w:eastAsia="Times New Roman" w:hAnsi="Calibri" w:cs="Times New Roman"/>
                <w:b/>
                <w:bCs/>
                <w:color w:val="000000"/>
                <w:sz w:val="14"/>
                <w:szCs w:val="16"/>
                <w:lang w:val="es-PE" w:eastAsia="es-PE"/>
              </w:rPr>
            </w:pPr>
            <w:r w:rsidRPr="00A637E9">
              <w:rPr>
                <w:rFonts w:ascii="Calibri" w:eastAsia="Times New Roman" w:hAnsi="Calibri" w:cs="Times New Roman"/>
                <w:b/>
                <w:bCs/>
                <w:color w:val="000000"/>
                <w:sz w:val="14"/>
                <w:szCs w:val="16"/>
                <w:lang w:val="es-PE" w:eastAsia="es-PE"/>
              </w:rPr>
              <w:t>BT3</w:t>
            </w:r>
          </w:p>
        </w:tc>
        <w:tc>
          <w:tcPr>
            <w:tcW w:w="423"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3.5</w:t>
            </w:r>
          </w:p>
        </w:tc>
        <w:tc>
          <w:tcPr>
            <w:tcW w:w="304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0.431</w:t>
            </w:r>
          </w:p>
        </w:tc>
        <w:tc>
          <w:tcPr>
            <w:tcW w:w="136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0.02586</w:t>
            </w:r>
          </w:p>
        </w:tc>
      </w:tr>
      <w:tr w:rsidR="00FB4824" w:rsidRPr="00A637E9" w:rsidTr="00962627">
        <w:trPr>
          <w:trHeight w:val="70"/>
          <w:jc w:val="center"/>
        </w:trPr>
        <w:tc>
          <w:tcPr>
            <w:tcW w:w="1100" w:type="dxa"/>
            <w:vMerge/>
            <w:tcBorders>
              <w:top w:val="nil"/>
              <w:left w:val="single" w:sz="4" w:space="0" w:color="auto"/>
              <w:bottom w:val="single" w:sz="4" w:space="0" w:color="auto"/>
              <w:right w:val="single" w:sz="4" w:space="0" w:color="auto"/>
            </w:tcBorders>
            <w:vAlign w:val="center"/>
            <w:hideMark/>
          </w:tcPr>
          <w:p w:rsidR="00FB4824" w:rsidRPr="00A637E9" w:rsidRDefault="00FB4824" w:rsidP="00FB4824">
            <w:pPr>
              <w:spacing w:after="0" w:line="240" w:lineRule="auto"/>
              <w:rPr>
                <w:rFonts w:ascii="Calibri" w:eastAsia="Times New Roman" w:hAnsi="Calibri" w:cs="Times New Roman"/>
                <w:b/>
                <w:bCs/>
                <w:color w:val="000000"/>
                <w:sz w:val="14"/>
                <w:szCs w:val="16"/>
                <w:lang w:val="es-PE" w:eastAsia="es-PE"/>
              </w:rPr>
            </w:pPr>
          </w:p>
        </w:tc>
        <w:tc>
          <w:tcPr>
            <w:tcW w:w="423"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3.5</w:t>
            </w:r>
          </w:p>
        </w:tc>
        <w:tc>
          <w:tcPr>
            <w:tcW w:w="304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0.623</w:t>
            </w:r>
          </w:p>
        </w:tc>
        <w:tc>
          <w:tcPr>
            <w:tcW w:w="136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0.03738</w:t>
            </w:r>
          </w:p>
        </w:tc>
      </w:tr>
      <w:tr w:rsidR="00FB4824" w:rsidRPr="00A637E9" w:rsidTr="00962627">
        <w:trPr>
          <w:trHeight w:val="70"/>
          <w:jc w:val="center"/>
        </w:trPr>
        <w:tc>
          <w:tcPr>
            <w:tcW w:w="1100" w:type="dxa"/>
            <w:vMerge/>
            <w:tcBorders>
              <w:top w:val="nil"/>
              <w:left w:val="single" w:sz="4" w:space="0" w:color="auto"/>
              <w:bottom w:val="single" w:sz="4" w:space="0" w:color="auto"/>
              <w:right w:val="single" w:sz="4" w:space="0" w:color="auto"/>
            </w:tcBorders>
            <w:vAlign w:val="center"/>
            <w:hideMark/>
          </w:tcPr>
          <w:p w:rsidR="00FB4824" w:rsidRPr="00A637E9" w:rsidRDefault="00FB4824" w:rsidP="00FB4824">
            <w:pPr>
              <w:spacing w:after="0" w:line="240" w:lineRule="auto"/>
              <w:rPr>
                <w:rFonts w:ascii="Calibri" w:eastAsia="Times New Roman" w:hAnsi="Calibri" w:cs="Times New Roman"/>
                <w:b/>
                <w:bCs/>
                <w:color w:val="000000"/>
                <w:sz w:val="14"/>
                <w:szCs w:val="16"/>
                <w:lang w:val="es-PE" w:eastAsia="es-PE"/>
              </w:rPr>
            </w:pPr>
          </w:p>
        </w:tc>
        <w:tc>
          <w:tcPr>
            <w:tcW w:w="423"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3.5</w:t>
            </w:r>
          </w:p>
        </w:tc>
        <w:tc>
          <w:tcPr>
            <w:tcW w:w="304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0.527</w:t>
            </w:r>
          </w:p>
        </w:tc>
        <w:tc>
          <w:tcPr>
            <w:tcW w:w="1364" w:type="dxa"/>
            <w:tcBorders>
              <w:top w:val="nil"/>
              <w:left w:val="nil"/>
              <w:bottom w:val="single" w:sz="4" w:space="0" w:color="auto"/>
              <w:right w:val="single" w:sz="4" w:space="0" w:color="auto"/>
            </w:tcBorders>
            <w:shd w:val="clear" w:color="auto" w:fill="auto"/>
            <w:noWrap/>
            <w:vAlign w:val="center"/>
            <w:hideMark/>
          </w:tcPr>
          <w:p w:rsidR="00FB4824" w:rsidRPr="00A637E9" w:rsidRDefault="00FB4824" w:rsidP="00FB4824">
            <w:pPr>
              <w:spacing w:after="0" w:line="240" w:lineRule="auto"/>
              <w:jc w:val="center"/>
              <w:rPr>
                <w:rFonts w:ascii="Calibri" w:eastAsia="Times New Roman" w:hAnsi="Calibri" w:cs="Times New Roman"/>
                <w:color w:val="000000"/>
                <w:sz w:val="14"/>
                <w:szCs w:val="16"/>
                <w:lang w:val="es-PE" w:eastAsia="es-PE"/>
              </w:rPr>
            </w:pPr>
            <w:r w:rsidRPr="00A637E9">
              <w:rPr>
                <w:rFonts w:ascii="Calibri" w:eastAsia="Times New Roman" w:hAnsi="Calibri" w:cs="Times New Roman"/>
                <w:color w:val="000000"/>
                <w:sz w:val="14"/>
                <w:szCs w:val="16"/>
                <w:lang w:val="es-PE" w:eastAsia="es-PE"/>
              </w:rPr>
              <w:t>0.03162</w:t>
            </w:r>
          </w:p>
        </w:tc>
      </w:tr>
    </w:tbl>
    <w:p w:rsidR="00C14152" w:rsidRPr="00C14152" w:rsidRDefault="00C14152" w:rsidP="00FB4824">
      <w:pPr>
        <w:jc w:val="center"/>
        <w:rPr>
          <w:sz w:val="2"/>
          <w:szCs w:val="18"/>
        </w:rPr>
      </w:pPr>
    </w:p>
    <w:p w:rsidR="00FB4824" w:rsidRPr="00FB4824" w:rsidRDefault="00C978BF" w:rsidP="00FB4824">
      <w:pPr>
        <w:jc w:val="center"/>
        <w:rPr>
          <w:sz w:val="16"/>
          <w:szCs w:val="18"/>
        </w:rPr>
      </w:pPr>
      <w:r>
        <w:rPr>
          <w:sz w:val="16"/>
          <w:szCs w:val="18"/>
        </w:rPr>
        <w:t>Tabla 1.3</w:t>
      </w:r>
      <w:r w:rsidR="00FB4824">
        <w:rPr>
          <w:sz w:val="16"/>
          <w:szCs w:val="18"/>
        </w:rPr>
        <w:t xml:space="preserve">: Valores de absorbancia corregidos en el ensayo de nitrato reductasa de </w:t>
      </w:r>
      <w:r w:rsidR="00FB4824">
        <w:rPr>
          <w:i/>
          <w:sz w:val="16"/>
          <w:szCs w:val="18"/>
        </w:rPr>
        <w:t>B</w:t>
      </w:r>
      <w:r w:rsidR="00FB4824">
        <w:rPr>
          <w:sz w:val="16"/>
          <w:szCs w:val="18"/>
        </w:rPr>
        <w:t>.</w:t>
      </w:r>
      <w:r w:rsidR="00FB4824">
        <w:rPr>
          <w:i/>
          <w:sz w:val="16"/>
          <w:szCs w:val="18"/>
        </w:rPr>
        <w:t xml:space="preserve"> vulgaris</w:t>
      </w:r>
      <w:r w:rsidR="00FB4824">
        <w:rPr>
          <w:sz w:val="16"/>
          <w:szCs w:val="18"/>
        </w:rPr>
        <w:t>. Fuente: Elaboración propia</w:t>
      </w:r>
    </w:p>
    <w:p w:rsidR="00D06ED9" w:rsidRPr="00C14152" w:rsidRDefault="00D06ED9" w:rsidP="00D06ED9">
      <w:pPr>
        <w:jc w:val="center"/>
        <w:rPr>
          <w:sz w:val="2"/>
        </w:rPr>
      </w:pPr>
      <w:r w:rsidRPr="00D06ED9">
        <w:rPr>
          <w:noProof/>
          <w:lang w:val="es-PE" w:eastAsia="es-PE"/>
        </w:rPr>
        <w:drawing>
          <wp:inline distT="0" distB="0" distL="0" distR="0">
            <wp:extent cx="3288354" cy="2217906"/>
            <wp:effectExtent l="19050" t="0" r="26346"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4200" w:rsidRPr="00EB1862" w:rsidRDefault="00F56EA4" w:rsidP="00484200">
      <w:pPr>
        <w:jc w:val="center"/>
        <w:rPr>
          <w:sz w:val="16"/>
        </w:rPr>
      </w:pPr>
      <w:r>
        <w:rPr>
          <w:sz w:val="16"/>
        </w:rPr>
        <w:t>Gráfico 1.5</w:t>
      </w:r>
      <w:r w:rsidR="00EB1862" w:rsidRPr="00EB1862">
        <w:rPr>
          <w:sz w:val="16"/>
        </w:rPr>
        <w:t>:</w:t>
      </w:r>
      <w:r w:rsidR="00484200" w:rsidRPr="00EB1862">
        <w:rPr>
          <w:sz w:val="16"/>
        </w:rPr>
        <w:t xml:space="preserve"> </w:t>
      </w:r>
      <w:r w:rsidR="00EB1862" w:rsidRPr="00EB1862">
        <w:rPr>
          <w:sz w:val="16"/>
        </w:rPr>
        <w:t xml:space="preserve">Relaciones entre </w:t>
      </w:r>
      <w:r w:rsidR="007C559C">
        <w:rPr>
          <w:sz w:val="16"/>
        </w:rPr>
        <w:t>salinidad</w:t>
      </w:r>
      <w:r w:rsidR="00EB1862">
        <w:rPr>
          <w:sz w:val="16"/>
        </w:rPr>
        <w:t xml:space="preserve"> (eje X)</w:t>
      </w:r>
      <w:r w:rsidR="007C559C">
        <w:rPr>
          <w:sz w:val="16"/>
        </w:rPr>
        <w:t xml:space="preserve"> y</w:t>
      </w:r>
      <w:r w:rsidR="00EB1862" w:rsidRPr="00EB1862">
        <w:rPr>
          <w:sz w:val="16"/>
        </w:rPr>
        <w:t xml:space="preserve"> absorbancia</w:t>
      </w:r>
      <w:r w:rsidR="00EB1862">
        <w:rPr>
          <w:sz w:val="16"/>
        </w:rPr>
        <w:t xml:space="preserve"> (eje Y)</w:t>
      </w:r>
      <w:r w:rsidR="00EB1862" w:rsidRPr="00EB1862">
        <w:rPr>
          <w:sz w:val="16"/>
        </w:rPr>
        <w:t>, indicador indirecto de nitrato reductasa</w:t>
      </w:r>
      <w:r w:rsidR="00484200" w:rsidRPr="00EB1862">
        <w:rPr>
          <w:sz w:val="16"/>
        </w:rPr>
        <w:t xml:space="preserve">. </w:t>
      </w:r>
      <w:r w:rsidR="00484200" w:rsidRPr="00EB1862">
        <w:rPr>
          <w:b/>
          <w:sz w:val="16"/>
        </w:rPr>
        <w:t>Fuente</w:t>
      </w:r>
      <w:r w:rsidR="00484200" w:rsidRPr="00EB1862">
        <w:rPr>
          <w:sz w:val="16"/>
        </w:rPr>
        <w:t xml:space="preserve">: </w:t>
      </w:r>
      <w:r w:rsidR="00EB1862" w:rsidRPr="00EB1862">
        <w:rPr>
          <w:sz w:val="16"/>
        </w:rPr>
        <w:t>Elaboración propia</w:t>
      </w:r>
    </w:p>
    <w:p w:rsidR="00484200" w:rsidRPr="00DF12D8" w:rsidRDefault="00DF12D8" w:rsidP="00DF12D8">
      <w:pPr>
        <w:jc w:val="both"/>
      </w:pPr>
      <w:r>
        <w:lastRenderedPageBreak/>
        <w:t xml:space="preserve">Además, se pudo establecer la curva estándar que se presenta a continuación, que permite relacionar directamente la absorbancia con la cantidad de la enzima. Así, se establece una curva que sirve para una comparación directa, </w:t>
      </w:r>
      <w:r>
        <w:rPr>
          <w:i/>
        </w:rPr>
        <w:t>a posteriori</w:t>
      </w:r>
      <w:r>
        <w:t xml:space="preserve">, en futuros experimentos de evaluación de nitrato reductasa en la presente variedad de </w:t>
      </w:r>
      <w:r>
        <w:rPr>
          <w:i/>
        </w:rPr>
        <w:t>B</w:t>
      </w:r>
      <w:r w:rsidRPr="00DF12D8">
        <w:t>.</w:t>
      </w:r>
      <w:r>
        <w:rPr>
          <w:i/>
        </w:rPr>
        <w:t xml:space="preserve"> vulgaris</w:t>
      </w:r>
      <w:r>
        <w:t>. Esta curva es el resultado de la transformación de los datos a través de la fórmula indicada líneas arriba.</w:t>
      </w:r>
    </w:p>
    <w:p w:rsidR="00D06ED9" w:rsidRDefault="00D06ED9" w:rsidP="00DF12D8">
      <w:pPr>
        <w:jc w:val="center"/>
      </w:pPr>
      <w:r w:rsidRPr="00D06ED9">
        <w:rPr>
          <w:noProof/>
          <w:lang w:val="es-PE" w:eastAsia="es-PE"/>
        </w:rPr>
        <w:drawing>
          <wp:inline distT="0" distB="0" distL="0" distR="0">
            <wp:extent cx="3990975" cy="3467100"/>
            <wp:effectExtent l="19050" t="0" r="9525" b="0"/>
            <wp:docPr id="1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66BE" w:rsidRDefault="00F56EA4" w:rsidP="00DF12D8">
      <w:pPr>
        <w:jc w:val="center"/>
        <w:rPr>
          <w:sz w:val="16"/>
        </w:rPr>
      </w:pPr>
      <w:r>
        <w:rPr>
          <w:sz w:val="16"/>
        </w:rPr>
        <w:t>Gráfico 1.6</w:t>
      </w:r>
      <w:r w:rsidR="00D566BE">
        <w:rPr>
          <w:sz w:val="16"/>
        </w:rPr>
        <w:t>: densidad óptica (eje Y) por micromoles de NO</w:t>
      </w:r>
      <w:r w:rsidR="00D566BE" w:rsidRPr="00D566BE">
        <w:rPr>
          <w:sz w:val="16"/>
          <w:vertAlign w:val="subscript"/>
        </w:rPr>
        <w:t>2</w:t>
      </w:r>
      <w:r w:rsidR="00D566BE" w:rsidRPr="00D566BE">
        <w:rPr>
          <w:sz w:val="16"/>
          <w:vertAlign w:val="superscript"/>
        </w:rPr>
        <w:t>-</w:t>
      </w:r>
      <w:r w:rsidR="00D566BE">
        <w:rPr>
          <w:sz w:val="16"/>
          <w:vertAlign w:val="superscript"/>
        </w:rPr>
        <w:t xml:space="preserve"> </w:t>
      </w:r>
      <w:r w:rsidR="00D566BE">
        <w:rPr>
          <w:sz w:val="16"/>
        </w:rPr>
        <w:t xml:space="preserve">(eje X). </w:t>
      </w:r>
      <w:r w:rsidR="00D566BE">
        <w:rPr>
          <w:b/>
          <w:sz w:val="16"/>
        </w:rPr>
        <w:t>Fuente</w:t>
      </w:r>
      <w:r w:rsidR="00D566BE">
        <w:rPr>
          <w:sz w:val="16"/>
        </w:rPr>
        <w:t>: Elaboración propia.</w:t>
      </w:r>
    </w:p>
    <w:p w:rsidR="00F059F1" w:rsidRDefault="00267C91" w:rsidP="00F059F1">
      <w:pPr>
        <w:rPr>
          <w:b/>
        </w:rPr>
      </w:pPr>
      <w:r>
        <w:rPr>
          <w:b/>
        </w:rPr>
        <w:t xml:space="preserve">5. </w:t>
      </w:r>
      <w:r w:rsidR="00F059F1">
        <w:rPr>
          <w:b/>
        </w:rPr>
        <w:t>Conclusiones</w:t>
      </w:r>
    </w:p>
    <w:p w:rsidR="005543CA" w:rsidRPr="005543CA" w:rsidRDefault="005543CA" w:rsidP="005543CA">
      <w:pPr>
        <w:jc w:val="both"/>
      </w:pPr>
      <w:r>
        <w:t>Se desconoce el efecto preciso y constatable del estrés salino en la clorofila, debido a un mal manejo experimental. Sin embargo, se ha logrado observar ciertas tendencias (no representativas) que han sido indicadas en otros estudios.</w:t>
      </w:r>
    </w:p>
    <w:p w:rsidR="00416DDA" w:rsidRDefault="00F059F1" w:rsidP="00416DDA">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s-PE"/>
        </w:rPr>
      </w:pPr>
      <w:r w:rsidRPr="00FC2624">
        <w:t xml:space="preserve">Se observa una correlación negativa entre el nivel de estrés (expresado en la salinidad) y la cantidad de nitrato reductasa, lo que </w:t>
      </w:r>
      <w:r>
        <w:t>concuerda con la respuesta esperada. Así, en el tratamiento control, el nivel de nitrato reductasa es mayor, mientras que la concentración de esta enzima cae a mayor nivel de estrés</w:t>
      </w:r>
      <w:r w:rsidR="007B08B8">
        <w:t xml:space="preserve"> por salinidad</w:t>
      </w:r>
      <w:r>
        <w:t>.</w:t>
      </w:r>
      <w:r w:rsidR="00416DDA" w:rsidRPr="00416DD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4970A8" w:rsidRDefault="00416DDA" w:rsidP="005203AC">
      <w:pPr>
        <w:jc w:val="center"/>
        <w:rPr>
          <w:b/>
          <w:sz w:val="28"/>
          <w:u w:val="single"/>
        </w:rPr>
      </w:pPr>
      <w:r>
        <w:rPr>
          <w:noProof/>
          <w:lang w:val="es-PE" w:eastAsia="es-PE"/>
        </w:rPr>
        <w:drawing>
          <wp:inline distT="0" distB="0" distL="0" distR="0">
            <wp:extent cx="2592533" cy="1943100"/>
            <wp:effectExtent l="19050" t="0" r="0" b="0"/>
            <wp:docPr id="11" name="Imagen 3" descr="C:\Users\usuario\Desktop\EAMN\Curso - Biología Experimental I\Experimento 2\Imagen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EAMN\Curso - Biología Experimental I\Experimento 2\Imagen 1°4.JPG"/>
                    <pic:cNvPicPr>
                      <a:picLocks noChangeAspect="1" noChangeArrowheads="1"/>
                    </pic:cNvPicPr>
                  </pic:nvPicPr>
                  <pic:blipFill>
                    <a:blip r:embed="rId22" cstate="print"/>
                    <a:srcRect/>
                    <a:stretch>
                      <a:fillRect/>
                    </a:stretch>
                  </pic:blipFill>
                  <pic:spPr bwMode="auto">
                    <a:xfrm>
                      <a:off x="0" y="0"/>
                      <a:ext cx="2592533" cy="1943100"/>
                    </a:xfrm>
                    <a:prstGeom prst="rect">
                      <a:avLst/>
                    </a:prstGeom>
                    <a:noFill/>
                    <a:ln w="9525">
                      <a:noFill/>
                      <a:miter lim="800000"/>
                      <a:headEnd/>
                      <a:tailEnd/>
                    </a:ln>
                  </pic:spPr>
                </pic:pic>
              </a:graphicData>
            </a:graphic>
          </wp:inline>
        </w:drawing>
      </w:r>
      <w:r w:rsidR="00140775">
        <w:rPr>
          <w:b/>
          <w:sz w:val="28"/>
          <w:u w:val="single"/>
        </w:rPr>
        <w:br w:type="column"/>
      </w:r>
      <w:r w:rsidR="00F14982">
        <w:rPr>
          <w:b/>
          <w:sz w:val="28"/>
          <w:u w:val="single"/>
        </w:rPr>
        <w:lastRenderedPageBreak/>
        <w:t>Efectos del pH sobre el crecimiento de las plantas</w:t>
      </w:r>
    </w:p>
    <w:p w:rsidR="00F14982" w:rsidRPr="00A11553" w:rsidRDefault="00A11553" w:rsidP="00F14982">
      <w:pPr>
        <w:jc w:val="both"/>
        <w:rPr>
          <w:b/>
        </w:rPr>
      </w:pPr>
      <w:r w:rsidRPr="00A11553">
        <w:rPr>
          <w:b/>
        </w:rPr>
        <w:t xml:space="preserve">1. </w:t>
      </w:r>
      <w:r w:rsidR="00F14982" w:rsidRPr="00A11553">
        <w:rPr>
          <w:b/>
        </w:rPr>
        <w:t>Introducción</w:t>
      </w:r>
    </w:p>
    <w:p w:rsidR="00F81537" w:rsidRDefault="00767558" w:rsidP="00F14982">
      <w:pPr>
        <w:jc w:val="both"/>
      </w:pPr>
      <w:r>
        <w:t xml:space="preserve">La lechuga, </w:t>
      </w:r>
      <w:r>
        <w:rPr>
          <w:i/>
        </w:rPr>
        <w:t>Lactuca sativa</w:t>
      </w:r>
      <w:r>
        <w:t xml:space="preserve"> L. (Cichorioideae: Asteraceae: Asterales)</w:t>
      </w:r>
      <w:r w:rsidR="00A70A69">
        <w:t>,</w:t>
      </w:r>
      <w:r w:rsidR="00184399">
        <w:t xml:space="preserve"> </w:t>
      </w:r>
      <w:r w:rsidR="00C61464">
        <w:t xml:space="preserve">es </w:t>
      </w:r>
      <w:r w:rsidR="00184399">
        <w:t>usada en diversos experimentos fisiológicos</w:t>
      </w:r>
      <w:r w:rsidR="00C61464">
        <w:t xml:space="preserve"> debido a su crecimiento rápido, su disponibilidad y su gran adaptabilidad a distintos mecanismos y sustratos de cultivo</w:t>
      </w:r>
      <w:r w:rsidR="00880813">
        <w:t xml:space="preserve"> (</w:t>
      </w:r>
      <w:proofErr w:type="spellStart"/>
      <w:r w:rsidR="00880813">
        <w:t>Lallana</w:t>
      </w:r>
      <w:proofErr w:type="spellEnd"/>
      <w:r w:rsidR="00880813">
        <w:t xml:space="preserve"> y </w:t>
      </w:r>
      <w:proofErr w:type="spellStart"/>
      <w:r w:rsidR="00880813">
        <w:t>Lallana</w:t>
      </w:r>
      <w:proofErr w:type="spellEnd"/>
      <w:r w:rsidR="00880813">
        <w:t>, 2001</w:t>
      </w:r>
      <w:r w:rsidR="001C301D">
        <w:t>; Mora, 2008</w:t>
      </w:r>
      <w:r w:rsidR="00880813">
        <w:t>)</w:t>
      </w:r>
      <w:r w:rsidR="00C61464">
        <w:t xml:space="preserve">. Además, manifiesta claramente </w:t>
      </w:r>
      <w:r w:rsidR="00880813">
        <w:t xml:space="preserve">la </w:t>
      </w:r>
      <w:r w:rsidR="00C61464">
        <w:t>sintomatología</w:t>
      </w:r>
      <w:r w:rsidR="00880813">
        <w:t>,</w:t>
      </w:r>
      <w:r w:rsidR="00C61464">
        <w:t xml:space="preserve"> dependiendo de los síndromes a los que se la ha condicionado, según las necesidades experimenta</w:t>
      </w:r>
      <w:r w:rsidR="00880813">
        <w:t>les. En este ensayo, se pretendió</w:t>
      </w:r>
      <w:r w:rsidR="00C61464">
        <w:t xml:space="preserve"> observar la respuesta de dos variedades de lechuga a cuatro tratamientos experimentales y un control.</w:t>
      </w:r>
      <w:r w:rsidR="00DC2FED">
        <w:t xml:space="preserve"> Se emplean en total diez individuos, cinco por cada variedad, </w:t>
      </w:r>
      <w:r w:rsidR="00F81537">
        <w:t xml:space="preserve">dos por cada tratamiento. </w:t>
      </w:r>
    </w:p>
    <w:p w:rsidR="006160B4" w:rsidRDefault="00F81537" w:rsidP="00880813">
      <w:pPr>
        <w:jc w:val="both"/>
      </w:pPr>
      <w:r>
        <w:t xml:space="preserve">En ensayos anteriores, la respuesta de </w:t>
      </w:r>
      <w:r w:rsidR="00836ACC">
        <w:t>las plantas ante el estrés</w:t>
      </w:r>
      <w:r w:rsidR="00880813">
        <w:t xml:space="preserve"> por pH</w:t>
      </w:r>
      <w:r w:rsidR="00836ACC">
        <w:t xml:space="preserve"> se debe a la incapacidad de las soluciones ácidas para retener oxígeno disuelto en ellas, por lo que </w:t>
      </w:r>
      <w:r w:rsidR="00B606B8">
        <w:t xml:space="preserve">la acidez, que es producida en condiciones naturales por el exceso de </w:t>
      </w:r>
      <w:r w:rsidR="00E469B0">
        <w:t>cationes Al</w:t>
      </w:r>
      <w:r w:rsidR="00E469B0" w:rsidRPr="00E469B0">
        <w:rPr>
          <w:vertAlign w:val="superscript"/>
        </w:rPr>
        <w:t>+3</w:t>
      </w:r>
      <w:r w:rsidR="00E469B0">
        <w:t xml:space="preserve">, causa la disminución del crecimiento y división celular por asfixia de las células (Llorente, 2002; </w:t>
      </w:r>
      <w:r w:rsidR="00E469B0" w:rsidRPr="00E469B0">
        <w:t xml:space="preserve">Bazán </w:t>
      </w:r>
      <w:r w:rsidR="00E469B0">
        <w:t>et al.</w:t>
      </w:r>
      <w:r w:rsidR="00880813">
        <w:t>,</w:t>
      </w:r>
      <w:r w:rsidR="00E469B0">
        <w:t xml:space="preserve"> </w:t>
      </w:r>
      <w:r w:rsidR="00E469B0" w:rsidRPr="00E469B0">
        <w:t>2009</w:t>
      </w:r>
      <w:r w:rsidR="00E469B0">
        <w:t xml:space="preserve">). </w:t>
      </w:r>
      <w:r w:rsidR="00880813">
        <w:t xml:space="preserve">Se sabe también que el estrés causa </w:t>
      </w:r>
      <w:r w:rsidR="00880813" w:rsidRPr="00880813">
        <w:t>“inhibición del crecimiento apical, incremento en el crecimiento de las raíces y cambios en el ciclo de vida”</w:t>
      </w:r>
      <w:r w:rsidR="00880813">
        <w:t xml:space="preserve"> (Fuentes et al. c. 2005), lo cual contrasta con lo referido por los primeros autores.</w:t>
      </w:r>
      <w:r w:rsidR="00F9566C">
        <w:t xml:space="preserve"> </w:t>
      </w:r>
    </w:p>
    <w:p w:rsidR="00F81537" w:rsidRDefault="006160B4" w:rsidP="00880813">
      <w:pPr>
        <w:jc w:val="both"/>
      </w:pPr>
      <w:r>
        <w:t>Finalmente, los nutrientes en sí</w:t>
      </w:r>
      <w:r w:rsidR="00F9566C">
        <w:t xml:space="preserve"> no están disponibles en su totalidad en pH extremos para la mayoría de plantas cultivadas (mesófilas la mayor parte de ellas. Esto añade un factor de riesgo adicional (Berríos et al., 2007)</w:t>
      </w:r>
    </w:p>
    <w:p w:rsidR="00880813" w:rsidRPr="00760B34" w:rsidRDefault="00880813" w:rsidP="00760B34">
      <w:pPr>
        <w:rPr>
          <w:b/>
        </w:rPr>
      </w:pPr>
      <w:r w:rsidRPr="00760B34">
        <w:rPr>
          <w:b/>
        </w:rPr>
        <w:t>2. Procedimiento experimental</w:t>
      </w:r>
    </w:p>
    <w:p w:rsidR="006160B4" w:rsidRDefault="00760B34" w:rsidP="00760B34">
      <w:pPr>
        <w:jc w:val="both"/>
      </w:pPr>
      <w:r>
        <w:rPr>
          <w:i/>
        </w:rPr>
        <w:t>Instalación</w:t>
      </w:r>
      <w:r w:rsidRPr="00D35DEA">
        <w:rPr>
          <w:i/>
        </w:rPr>
        <w:t xml:space="preserve"> del experimento</w:t>
      </w:r>
      <w:r w:rsidR="00A11553">
        <w:rPr>
          <w:i/>
        </w:rPr>
        <w:t xml:space="preserve"> y tratamiento analítico</w:t>
      </w:r>
      <w:r>
        <w:t xml:space="preserve">: Se tomó diez macetas de polivinilo forradas con plástico negro, las cuales fueron llenadas con </w:t>
      </w:r>
      <w:r w:rsidRPr="0038049A">
        <w:t xml:space="preserve">Solución A </w:t>
      </w:r>
      <w:r>
        <w:t xml:space="preserve">y B </w:t>
      </w:r>
      <w:r w:rsidRPr="0038049A">
        <w:t>La Molina</w:t>
      </w:r>
      <w:r w:rsidRPr="0038049A">
        <w:rPr>
          <w:bCs/>
          <w:spacing w:val="-2"/>
        </w:rPr>
        <w:t>®</w:t>
      </w:r>
      <w:r w:rsidRPr="0038049A">
        <w:t xml:space="preserve"> </w:t>
      </w:r>
      <w:r>
        <w:t xml:space="preserve">según prescripción del fabricante, </w:t>
      </w:r>
      <w:r w:rsidRPr="0038049A">
        <w:t xml:space="preserve">completando con agua de pozo un litro de </w:t>
      </w:r>
      <w:r>
        <w:t>solución. Así, se obtuvo diez sustratos hidropónicos, los cuales se emplearon para crecer plantas de lechuga de dos semanas de edad (aproximadamente, según indicación del profesor)</w:t>
      </w:r>
      <w:r w:rsidR="006B4A5D">
        <w:t xml:space="preserve">. Sobre este sustrato, </w:t>
      </w:r>
      <w:r w:rsidR="00172161">
        <w:t>apropiado para el crecimiento;</w:t>
      </w:r>
      <w:r w:rsidR="006B4A5D">
        <w:t xml:space="preserve"> se agregó ácido sulfúrico 1 molar</w:t>
      </w:r>
      <w:r w:rsidR="00172161">
        <w:t xml:space="preserve"> hasta alcanzar el pH ácido, o hidróxido de sodio 1 molar para alcanzar el pH básico buscado. La determinación del pH se practicó con un potenciómetro portátil. </w:t>
      </w:r>
    </w:p>
    <w:p w:rsidR="0047717D" w:rsidRDefault="00172161" w:rsidP="00760B34">
      <w:pPr>
        <w:jc w:val="both"/>
      </w:pPr>
      <w:r>
        <w:t>Este procedimiento se llevó a cabo cada semana, para evitar la excesiva acidificación del sustrato (para que este no</w:t>
      </w:r>
      <w:r w:rsidR="00F22AD3">
        <w:t xml:space="preserve"> afecte</w:t>
      </w:r>
      <w:r w:rsidR="00C41661">
        <w:t xml:space="preserve"> el tratamiento experimental</w:t>
      </w:r>
      <w:r w:rsidR="0047717D">
        <w:t>)</w:t>
      </w:r>
      <w:r w:rsidR="00C41661">
        <w:t xml:space="preserve"> y evitar el </w:t>
      </w:r>
      <w:r w:rsidR="0047717D">
        <w:t>agotamiento total de nutrientes</w:t>
      </w:r>
      <w:r w:rsidR="00C41661">
        <w:t xml:space="preserve">. </w:t>
      </w:r>
      <w:r w:rsidR="0047717D">
        <w:t>Se monitoreó el pH de manera casi inter diaria los días viernes, lunes y miércoles (en este último caso justo antes de cambiar la solución nutritiva), lo que permitió evaluar el descenso promedio de pH en el transcurso de cada semana.</w:t>
      </w:r>
    </w:p>
    <w:p w:rsidR="00760B34" w:rsidRDefault="00C41661" w:rsidP="00760B34">
      <w:pPr>
        <w:jc w:val="both"/>
      </w:pPr>
      <w:r>
        <w:t xml:space="preserve">El experimento se </w:t>
      </w:r>
      <w:r w:rsidR="00760B34">
        <w:t>llevó a cabo en el módulo hidropónico del Centro de Investigación de Hidroponía y Nutrición Mineral de la Fundación para el Desarrollo Agrario, en la Universidad Nacional Agraria La Molina. Esta programación fue hecha en el aula de clase (Laboratorio de Fisiología Vegetal B-4), de manera teórica</w:t>
      </w:r>
      <w:r w:rsidR="006B4A5D">
        <w:t xml:space="preserve"> </w:t>
      </w:r>
      <w:r w:rsidR="00760B34">
        <w:t>por el profesor del curso.</w:t>
      </w:r>
    </w:p>
    <w:p w:rsidR="0047717D" w:rsidRDefault="0047717D" w:rsidP="00760B34">
      <w:pPr>
        <w:jc w:val="both"/>
      </w:pPr>
      <w:r>
        <w:t>Se evaluó las longitudes y el peso fresco de cada individuo.</w:t>
      </w:r>
    </w:p>
    <w:p w:rsidR="006160B4" w:rsidRDefault="0047717D" w:rsidP="0047717D">
      <w:pPr>
        <w:jc w:val="center"/>
        <w:rPr>
          <w:i/>
        </w:rPr>
      </w:pPr>
      <w:r>
        <w:rPr>
          <w:i/>
          <w:noProof/>
          <w:lang w:val="es-PE" w:eastAsia="es-PE"/>
        </w:rPr>
        <w:lastRenderedPageBreak/>
        <w:drawing>
          <wp:inline distT="0" distB="0" distL="0" distR="0">
            <wp:extent cx="2495550" cy="1870412"/>
            <wp:effectExtent l="19050" t="0" r="0" b="0"/>
            <wp:docPr id="12" name="Imagen 4" descr="C:\Users\usuario\Desktop\EAMN\Curso - Biología Experimental I\Experimento 2\Image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EAMN\Curso - Biología Experimental I\Experimento 2\Imagen 1°1.JPG"/>
                    <pic:cNvPicPr>
                      <a:picLocks noChangeAspect="1" noChangeArrowheads="1"/>
                    </pic:cNvPicPr>
                  </pic:nvPicPr>
                  <pic:blipFill>
                    <a:blip r:embed="rId23" cstate="print"/>
                    <a:srcRect/>
                    <a:stretch>
                      <a:fillRect/>
                    </a:stretch>
                  </pic:blipFill>
                  <pic:spPr bwMode="auto">
                    <a:xfrm>
                      <a:off x="0" y="0"/>
                      <a:ext cx="2495257" cy="1870192"/>
                    </a:xfrm>
                    <a:prstGeom prst="rect">
                      <a:avLst/>
                    </a:prstGeom>
                    <a:noFill/>
                    <a:ln w="9525">
                      <a:noFill/>
                      <a:miter lim="800000"/>
                      <a:headEnd/>
                      <a:tailEnd/>
                    </a:ln>
                  </pic:spPr>
                </pic:pic>
              </a:graphicData>
            </a:graphic>
          </wp:inline>
        </w:drawing>
      </w:r>
      <w:r>
        <w:rPr>
          <w:i/>
          <w:noProof/>
          <w:lang w:val="es-PE" w:eastAsia="es-PE"/>
        </w:rPr>
        <w:drawing>
          <wp:inline distT="0" distB="0" distL="0" distR="0">
            <wp:extent cx="2477723" cy="1857051"/>
            <wp:effectExtent l="19050" t="0" r="0" b="0"/>
            <wp:docPr id="15" name="Imagen 5" descr="C:\Users\usuario\Desktop\EAMN\Curso - Biología Experimental I\Experimento 2\Image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EAMN\Curso - Biología Experimental I\Experimento 2\Imagen 1°2.JPG"/>
                    <pic:cNvPicPr>
                      <a:picLocks noChangeAspect="1" noChangeArrowheads="1"/>
                    </pic:cNvPicPr>
                  </pic:nvPicPr>
                  <pic:blipFill>
                    <a:blip r:embed="rId24" cstate="print"/>
                    <a:srcRect/>
                    <a:stretch>
                      <a:fillRect/>
                    </a:stretch>
                  </pic:blipFill>
                  <pic:spPr bwMode="auto">
                    <a:xfrm>
                      <a:off x="0" y="0"/>
                      <a:ext cx="2477432" cy="1856833"/>
                    </a:xfrm>
                    <a:prstGeom prst="rect">
                      <a:avLst/>
                    </a:prstGeom>
                    <a:noFill/>
                    <a:ln w="9525">
                      <a:noFill/>
                      <a:miter lim="800000"/>
                      <a:headEnd/>
                      <a:tailEnd/>
                    </a:ln>
                  </pic:spPr>
                </pic:pic>
              </a:graphicData>
            </a:graphic>
          </wp:inline>
        </w:drawing>
      </w:r>
    </w:p>
    <w:p w:rsidR="0047717D" w:rsidRDefault="0047717D" w:rsidP="0047717D">
      <w:pPr>
        <w:jc w:val="center"/>
        <w:rPr>
          <w:i/>
        </w:rPr>
      </w:pPr>
      <w:r>
        <w:rPr>
          <w:i/>
          <w:noProof/>
          <w:lang w:val="es-PE" w:eastAsia="es-PE"/>
        </w:rPr>
        <w:drawing>
          <wp:inline distT="0" distB="0" distL="0" distR="0">
            <wp:extent cx="2503140" cy="1876101"/>
            <wp:effectExtent l="19050" t="0" r="0" b="0"/>
            <wp:docPr id="17" name="Imagen 6" descr="C:\Users\usuario\Desktop\EAMN\Curso - Biología Experimental I\Experimento 2\Imagen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EAMN\Curso - Biología Experimental I\Experimento 2\Imagen 1°3.JPG"/>
                    <pic:cNvPicPr>
                      <a:picLocks noChangeAspect="1" noChangeArrowheads="1"/>
                    </pic:cNvPicPr>
                  </pic:nvPicPr>
                  <pic:blipFill>
                    <a:blip r:embed="rId25" cstate="print"/>
                    <a:srcRect/>
                    <a:stretch>
                      <a:fillRect/>
                    </a:stretch>
                  </pic:blipFill>
                  <pic:spPr bwMode="auto">
                    <a:xfrm>
                      <a:off x="0" y="0"/>
                      <a:ext cx="2502846" cy="1875880"/>
                    </a:xfrm>
                    <a:prstGeom prst="rect">
                      <a:avLst/>
                    </a:prstGeom>
                    <a:noFill/>
                    <a:ln w="9525">
                      <a:noFill/>
                      <a:miter lim="800000"/>
                      <a:headEnd/>
                      <a:tailEnd/>
                    </a:ln>
                  </pic:spPr>
                </pic:pic>
              </a:graphicData>
            </a:graphic>
          </wp:inline>
        </w:drawing>
      </w:r>
    </w:p>
    <w:p w:rsidR="0047717D" w:rsidRPr="0047717D" w:rsidRDefault="0047717D" w:rsidP="00F14982">
      <w:pPr>
        <w:jc w:val="both"/>
        <w:rPr>
          <w:sz w:val="16"/>
        </w:rPr>
      </w:pPr>
      <w:r>
        <w:rPr>
          <w:sz w:val="16"/>
        </w:rPr>
        <w:t>Figuras 2.1 y 2.2 Instalación del experimento. Figura 2.3 Experimento instalado</w:t>
      </w:r>
    </w:p>
    <w:p w:rsidR="0092247A" w:rsidRDefault="00A11553" w:rsidP="00F14982">
      <w:pPr>
        <w:jc w:val="both"/>
      </w:pPr>
      <w:r>
        <w:rPr>
          <w:i/>
        </w:rPr>
        <w:t xml:space="preserve">Tratamientos </w:t>
      </w:r>
      <w:r w:rsidRPr="00005B68">
        <w:rPr>
          <w:i/>
        </w:rPr>
        <w:t>experimentales</w:t>
      </w:r>
      <w:r>
        <w:t xml:space="preserve">: </w:t>
      </w:r>
      <w:r w:rsidRPr="00A11553">
        <w:t>Se</w:t>
      </w:r>
      <w:r>
        <w:t xml:space="preserve"> trabajó con los cultivares</w:t>
      </w:r>
      <w:r w:rsidR="00C41661">
        <w:t xml:space="preserve"> </w:t>
      </w:r>
      <w:r>
        <w:t>‘</w:t>
      </w:r>
      <w:proofErr w:type="spellStart"/>
      <w:r>
        <w:t>Lunix</w:t>
      </w:r>
      <w:proofErr w:type="spellEnd"/>
      <w:r>
        <w:t xml:space="preserve">’ </w:t>
      </w:r>
      <w:r w:rsidR="00C41661">
        <w:t>(roja</w:t>
      </w:r>
      <w:r>
        <w:t xml:space="preserve"> [hoja de roble]</w:t>
      </w:r>
      <w:r w:rsidR="00C41661">
        <w:t xml:space="preserve">) y </w:t>
      </w:r>
      <w:r>
        <w:t>‘</w:t>
      </w:r>
      <w:r w:rsidR="00C41661">
        <w:t>Americana</w:t>
      </w:r>
      <w:r>
        <w:t>’</w:t>
      </w:r>
      <w:r w:rsidR="00C41661">
        <w:t xml:space="preserve"> (verde</w:t>
      </w:r>
      <w:r>
        <w:t xml:space="preserve"> [hoja de roble]</w:t>
      </w:r>
      <w:r w:rsidR="00C41661">
        <w:t xml:space="preserve">), en 5 tratamientos (control incluido) durante cuatro semanas, cambiando la solución hidropónica semanalmente. </w:t>
      </w:r>
      <w:r w:rsidR="00A17B3B">
        <w:t>Se presenta el croquis experimental (Tabla 2.1)</w:t>
      </w:r>
    </w:p>
    <w:tbl>
      <w:tblPr>
        <w:tblW w:w="8505" w:type="dxa"/>
        <w:jc w:val="center"/>
        <w:tblInd w:w="70" w:type="dxa"/>
        <w:tblLayout w:type="fixed"/>
        <w:tblCellMar>
          <w:left w:w="70" w:type="dxa"/>
          <w:right w:w="70" w:type="dxa"/>
        </w:tblCellMar>
        <w:tblLook w:val="04A0"/>
      </w:tblPr>
      <w:tblGrid>
        <w:gridCol w:w="1417"/>
        <w:gridCol w:w="1418"/>
        <w:gridCol w:w="1417"/>
        <w:gridCol w:w="1418"/>
        <w:gridCol w:w="1417"/>
        <w:gridCol w:w="1418"/>
      </w:tblGrid>
      <w:tr w:rsidR="00486D6F" w:rsidRPr="006160B4" w:rsidTr="00421788">
        <w:trPr>
          <w:trHeight w:val="300"/>
          <w:jc w:val="center"/>
        </w:trPr>
        <w:tc>
          <w:tcPr>
            <w:tcW w:w="1417" w:type="dxa"/>
            <w:tcBorders>
              <w:top w:val="single" w:sz="4" w:space="0" w:color="auto"/>
              <w:left w:val="single" w:sz="4" w:space="0" w:color="auto"/>
              <w:bottom w:val="single" w:sz="4" w:space="0" w:color="auto"/>
              <w:right w:val="nil"/>
            </w:tcBorders>
            <w:shd w:val="clear" w:color="auto" w:fill="808080" w:themeFill="background1" w:themeFillShade="80"/>
            <w:noWrap/>
            <w:vAlign w:val="bottom"/>
            <w:hideMark/>
          </w:tcPr>
          <w:p w:rsidR="00486D6F" w:rsidRPr="006160B4" w:rsidRDefault="00486D6F" w:rsidP="00C14152">
            <w:pPr>
              <w:spacing w:after="0" w:line="240" w:lineRule="auto"/>
              <w:jc w:val="center"/>
              <w:rPr>
                <w:rFonts w:ascii="Calibri" w:eastAsia="Times New Roman" w:hAnsi="Calibri" w:cs="Times New Roman"/>
                <w:b/>
                <w:color w:val="FFFFFF" w:themeColor="background1"/>
                <w:lang w:val="es-PE" w:eastAsia="es-PE"/>
              </w:rPr>
            </w:pPr>
            <w:r w:rsidRPr="006160B4">
              <w:rPr>
                <w:rFonts w:ascii="Calibri" w:eastAsia="Times New Roman" w:hAnsi="Calibri" w:cs="Times New Roman"/>
                <w:b/>
                <w:color w:val="FFFFFF" w:themeColor="background1"/>
                <w:lang w:val="es-PE" w:eastAsia="es-PE"/>
              </w:rPr>
              <w:t>pH:</w:t>
            </w:r>
          </w:p>
        </w:tc>
        <w:tc>
          <w:tcPr>
            <w:tcW w:w="1418" w:type="dxa"/>
            <w:tcBorders>
              <w:top w:val="single" w:sz="4" w:space="0" w:color="auto"/>
              <w:left w:val="single" w:sz="4" w:space="0" w:color="auto"/>
              <w:bottom w:val="nil"/>
              <w:right w:val="single" w:sz="4" w:space="0" w:color="auto"/>
            </w:tcBorders>
            <w:shd w:val="clear" w:color="000000" w:fill="BFBFBF"/>
            <w:vAlign w:val="center"/>
            <w:hideMark/>
          </w:tcPr>
          <w:p w:rsidR="00486D6F" w:rsidRPr="006160B4" w:rsidRDefault="00486D6F" w:rsidP="00C14152">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4.50</w:t>
            </w:r>
          </w:p>
        </w:tc>
        <w:tc>
          <w:tcPr>
            <w:tcW w:w="1417" w:type="dxa"/>
            <w:tcBorders>
              <w:top w:val="single" w:sz="4" w:space="0" w:color="auto"/>
              <w:left w:val="nil"/>
              <w:bottom w:val="nil"/>
              <w:right w:val="single" w:sz="4" w:space="0" w:color="auto"/>
            </w:tcBorders>
            <w:shd w:val="clear" w:color="000000" w:fill="BFBFBF"/>
            <w:vAlign w:val="center"/>
            <w:hideMark/>
          </w:tcPr>
          <w:p w:rsidR="00486D6F" w:rsidRPr="006160B4" w:rsidRDefault="00486D6F" w:rsidP="00C14152">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5.50</w:t>
            </w:r>
          </w:p>
        </w:tc>
        <w:tc>
          <w:tcPr>
            <w:tcW w:w="1418" w:type="dxa"/>
            <w:tcBorders>
              <w:top w:val="single" w:sz="4" w:space="0" w:color="auto"/>
              <w:left w:val="nil"/>
              <w:bottom w:val="nil"/>
              <w:right w:val="single" w:sz="4" w:space="0" w:color="auto"/>
            </w:tcBorders>
            <w:shd w:val="clear" w:color="000000" w:fill="BFBFBF"/>
            <w:vAlign w:val="center"/>
            <w:hideMark/>
          </w:tcPr>
          <w:p w:rsidR="00486D6F" w:rsidRPr="006160B4" w:rsidRDefault="00486D6F" w:rsidP="00C14152">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6.50</w:t>
            </w:r>
          </w:p>
        </w:tc>
        <w:tc>
          <w:tcPr>
            <w:tcW w:w="1417" w:type="dxa"/>
            <w:tcBorders>
              <w:top w:val="single" w:sz="4" w:space="0" w:color="auto"/>
              <w:left w:val="nil"/>
              <w:bottom w:val="nil"/>
              <w:right w:val="single" w:sz="4" w:space="0" w:color="auto"/>
            </w:tcBorders>
            <w:shd w:val="clear" w:color="000000" w:fill="BFBFBF"/>
            <w:vAlign w:val="center"/>
            <w:hideMark/>
          </w:tcPr>
          <w:p w:rsidR="00486D6F" w:rsidRPr="006160B4" w:rsidRDefault="00486D6F" w:rsidP="00C14152">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7.50</w:t>
            </w:r>
          </w:p>
        </w:tc>
        <w:tc>
          <w:tcPr>
            <w:tcW w:w="1418" w:type="dxa"/>
            <w:tcBorders>
              <w:top w:val="single" w:sz="4" w:space="0" w:color="auto"/>
              <w:left w:val="nil"/>
              <w:bottom w:val="nil"/>
              <w:right w:val="single" w:sz="4" w:space="0" w:color="auto"/>
            </w:tcBorders>
            <w:shd w:val="clear" w:color="000000" w:fill="BFBFBF"/>
            <w:vAlign w:val="center"/>
            <w:hideMark/>
          </w:tcPr>
          <w:p w:rsidR="00486D6F" w:rsidRPr="006160B4" w:rsidRDefault="00486D6F" w:rsidP="00C14152">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8.50</w:t>
            </w:r>
          </w:p>
        </w:tc>
      </w:tr>
      <w:tr w:rsidR="00486D6F" w:rsidRPr="006160B4" w:rsidTr="00421788">
        <w:trPr>
          <w:trHeight w:val="300"/>
          <w:jc w:val="center"/>
        </w:trPr>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86D6F" w:rsidRPr="006160B4" w:rsidRDefault="00486D6F" w:rsidP="00DE3F04">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Roja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86D6F" w:rsidRPr="006160B4" w:rsidRDefault="00486D6F" w:rsidP="00DE3F04">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RT1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86D6F" w:rsidRPr="006160B4" w:rsidRDefault="00486D6F" w:rsidP="00DE3F04">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RT2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86D6F" w:rsidRPr="006160B4" w:rsidRDefault="00486D6F" w:rsidP="00DE3F04">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RT3 (Control)</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86D6F" w:rsidRPr="006160B4" w:rsidRDefault="00486D6F" w:rsidP="00DE3F04">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RT4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86D6F" w:rsidRPr="006160B4" w:rsidRDefault="00486D6F" w:rsidP="00DE3F04">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RT5</w:t>
            </w:r>
          </w:p>
        </w:tc>
      </w:tr>
      <w:tr w:rsidR="00486D6F" w:rsidRPr="006160B4" w:rsidTr="00421788">
        <w:trPr>
          <w:trHeight w:val="300"/>
          <w:jc w:val="center"/>
        </w:trPr>
        <w:tc>
          <w:tcPr>
            <w:tcW w:w="1417" w:type="dxa"/>
            <w:tcBorders>
              <w:top w:val="nil"/>
              <w:left w:val="single" w:sz="4" w:space="0" w:color="auto"/>
              <w:bottom w:val="single" w:sz="4" w:space="0" w:color="auto"/>
              <w:right w:val="single" w:sz="4" w:space="0" w:color="auto"/>
            </w:tcBorders>
            <w:shd w:val="clear" w:color="000000" w:fill="BFBFBF"/>
            <w:noWrap/>
            <w:vAlign w:val="bottom"/>
            <w:hideMark/>
          </w:tcPr>
          <w:p w:rsidR="00486D6F" w:rsidRPr="006160B4" w:rsidRDefault="00486D6F" w:rsidP="00DE3F04">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Verde</w:t>
            </w:r>
          </w:p>
        </w:tc>
        <w:tc>
          <w:tcPr>
            <w:tcW w:w="1418" w:type="dxa"/>
            <w:tcBorders>
              <w:top w:val="nil"/>
              <w:left w:val="nil"/>
              <w:bottom w:val="single" w:sz="4" w:space="0" w:color="auto"/>
              <w:right w:val="single" w:sz="4" w:space="0" w:color="auto"/>
            </w:tcBorders>
            <w:shd w:val="clear" w:color="auto" w:fill="auto"/>
            <w:noWrap/>
            <w:vAlign w:val="bottom"/>
            <w:hideMark/>
          </w:tcPr>
          <w:p w:rsidR="00486D6F" w:rsidRPr="006160B4" w:rsidRDefault="00486D6F" w:rsidP="00DE3F04">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VT1</w:t>
            </w:r>
          </w:p>
        </w:tc>
        <w:tc>
          <w:tcPr>
            <w:tcW w:w="1417" w:type="dxa"/>
            <w:tcBorders>
              <w:top w:val="nil"/>
              <w:left w:val="nil"/>
              <w:bottom w:val="single" w:sz="4" w:space="0" w:color="auto"/>
              <w:right w:val="single" w:sz="4" w:space="0" w:color="auto"/>
            </w:tcBorders>
            <w:shd w:val="clear" w:color="auto" w:fill="auto"/>
            <w:noWrap/>
            <w:vAlign w:val="bottom"/>
            <w:hideMark/>
          </w:tcPr>
          <w:p w:rsidR="00486D6F" w:rsidRPr="006160B4" w:rsidRDefault="00486D6F" w:rsidP="00DE3F04">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VT2</w:t>
            </w:r>
          </w:p>
        </w:tc>
        <w:tc>
          <w:tcPr>
            <w:tcW w:w="1418" w:type="dxa"/>
            <w:tcBorders>
              <w:top w:val="nil"/>
              <w:left w:val="nil"/>
              <w:bottom w:val="single" w:sz="4" w:space="0" w:color="auto"/>
              <w:right w:val="single" w:sz="4" w:space="0" w:color="auto"/>
            </w:tcBorders>
            <w:shd w:val="clear" w:color="auto" w:fill="auto"/>
            <w:noWrap/>
            <w:vAlign w:val="bottom"/>
            <w:hideMark/>
          </w:tcPr>
          <w:p w:rsidR="00486D6F" w:rsidRPr="006160B4" w:rsidRDefault="00486D6F" w:rsidP="00DE3F04">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VT3 (Control)</w:t>
            </w:r>
          </w:p>
        </w:tc>
        <w:tc>
          <w:tcPr>
            <w:tcW w:w="1417" w:type="dxa"/>
            <w:tcBorders>
              <w:top w:val="nil"/>
              <w:left w:val="nil"/>
              <w:bottom w:val="single" w:sz="4" w:space="0" w:color="auto"/>
              <w:right w:val="single" w:sz="4" w:space="0" w:color="auto"/>
            </w:tcBorders>
            <w:shd w:val="clear" w:color="auto" w:fill="auto"/>
            <w:noWrap/>
            <w:vAlign w:val="bottom"/>
            <w:hideMark/>
          </w:tcPr>
          <w:p w:rsidR="00486D6F" w:rsidRPr="006160B4" w:rsidRDefault="00486D6F" w:rsidP="00DE3F04">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VT4</w:t>
            </w:r>
          </w:p>
        </w:tc>
        <w:tc>
          <w:tcPr>
            <w:tcW w:w="1418" w:type="dxa"/>
            <w:tcBorders>
              <w:top w:val="nil"/>
              <w:left w:val="nil"/>
              <w:bottom w:val="single" w:sz="4" w:space="0" w:color="auto"/>
              <w:right w:val="single" w:sz="4" w:space="0" w:color="auto"/>
            </w:tcBorders>
            <w:shd w:val="clear" w:color="auto" w:fill="auto"/>
            <w:noWrap/>
            <w:vAlign w:val="bottom"/>
            <w:hideMark/>
          </w:tcPr>
          <w:p w:rsidR="00486D6F" w:rsidRPr="006160B4" w:rsidRDefault="00486D6F" w:rsidP="00DE3F04">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VT5</w:t>
            </w:r>
          </w:p>
        </w:tc>
      </w:tr>
    </w:tbl>
    <w:p w:rsidR="006D179C" w:rsidRPr="00E469B0" w:rsidRDefault="006D179C" w:rsidP="00F14982">
      <w:pPr>
        <w:jc w:val="both"/>
        <w:rPr>
          <w:sz w:val="2"/>
        </w:rPr>
      </w:pPr>
    </w:p>
    <w:p w:rsidR="00486D6F" w:rsidRDefault="00486D6F" w:rsidP="00F14982">
      <w:pPr>
        <w:jc w:val="both"/>
        <w:rPr>
          <w:sz w:val="16"/>
        </w:rPr>
      </w:pPr>
      <w:r w:rsidRPr="00486D6F">
        <w:rPr>
          <w:sz w:val="16"/>
        </w:rPr>
        <w:t xml:space="preserve">Tabla 2.1 Croquis experimental. </w:t>
      </w:r>
      <w:r w:rsidRPr="00486D6F">
        <w:rPr>
          <w:b/>
          <w:sz w:val="16"/>
        </w:rPr>
        <w:t>Fuente</w:t>
      </w:r>
      <w:r w:rsidRPr="00486D6F">
        <w:rPr>
          <w:sz w:val="16"/>
        </w:rPr>
        <w:t>: Elaboración propia</w:t>
      </w:r>
    </w:p>
    <w:p w:rsidR="00C41661" w:rsidRPr="00C41661" w:rsidRDefault="00C41661" w:rsidP="00F14982">
      <w:pPr>
        <w:jc w:val="both"/>
      </w:pPr>
      <w:r>
        <w:t xml:space="preserve">Al cabo del tiempo estipulado, se tomaron las plantas y se analizaron sus características físicas </w:t>
      </w:r>
      <w:r w:rsidR="00A11553">
        <w:t>y organolépticas; de manera cualitativa.</w:t>
      </w:r>
    </w:p>
    <w:p w:rsidR="00F14664" w:rsidRDefault="00A11553" w:rsidP="00F14982">
      <w:pPr>
        <w:jc w:val="both"/>
        <w:rPr>
          <w:b/>
        </w:rPr>
      </w:pPr>
      <w:r>
        <w:rPr>
          <w:b/>
        </w:rPr>
        <w:t xml:space="preserve">3. </w:t>
      </w:r>
      <w:r w:rsidR="00F14664">
        <w:rPr>
          <w:b/>
        </w:rPr>
        <w:t>Desarrollo</w:t>
      </w:r>
    </w:p>
    <w:p w:rsidR="001A63EB" w:rsidRDefault="00F14664" w:rsidP="00F14982">
      <w:pPr>
        <w:jc w:val="both"/>
      </w:pPr>
      <w:r>
        <w:t>Las plantas se pusieron sobre el sustrato con una edad aproximada de dos semanas, y se les dejó aproximadamente un mes para observar su desarrollo fenológico.</w:t>
      </w:r>
      <w:r w:rsidR="001A63EB">
        <w:t xml:space="preserve"> Al cabo de este tiempo, se extrajeron de los recipientes para medir sus longitudes, aérea y radicular; el peso fresco, y otras propiedades cualitativas.</w:t>
      </w:r>
    </w:p>
    <w:p w:rsidR="001A63EB" w:rsidRPr="001A63EB" w:rsidRDefault="001A63EB" w:rsidP="00F14982">
      <w:pPr>
        <w:jc w:val="both"/>
        <w:rPr>
          <w:b/>
        </w:rPr>
      </w:pPr>
      <w:r>
        <w:rPr>
          <w:b/>
        </w:rPr>
        <w:t>4. Resultados y discusiones</w:t>
      </w:r>
    </w:p>
    <w:p w:rsidR="0047717D" w:rsidRDefault="00267C91" w:rsidP="00F14982">
      <w:pPr>
        <w:jc w:val="both"/>
      </w:pPr>
      <w:r>
        <w:rPr>
          <w:i/>
        </w:rPr>
        <w:t>Sobre la acidez y la alcalinidad de los suelos y su efecto en los cultivos</w:t>
      </w:r>
      <w:r>
        <w:t xml:space="preserve">: La acidez de los suelos influye al recortar el crecimiento radicular, </w:t>
      </w:r>
      <w:r w:rsidR="00FD74CC">
        <w:t xml:space="preserve">limitando la absorción de nutrientes (Bernier y Alfaro, 2006) y afectando fuertemente la productividad. </w:t>
      </w:r>
      <w:r w:rsidR="001C301D">
        <w:t xml:space="preserve">Estos autores afirman que, si bien la </w:t>
      </w:r>
      <w:r w:rsidR="001C301D">
        <w:lastRenderedPageBreak/>
        <w:t xml:space="preserve">respuesta ante la acidez es variable aun entre variedades de la misma especie, todas disminuyen su productividad en pH bajo, viéndose especialmente afectados los campos de cultivo en comparación con zonas de pastoreo y cultivos de trigo (así, se infiere que las leguminosas y otros cultivos productivos [entre los que podemos incluir al tomate, lechuga, etc.] son mucho más susceptibles a la acidez del suelo en comparación a las poáceas de los pastizales). Esto afecta no solo a la calidad del cultivo, sino al crecimiento animal que de ellos depende (en caso de terneros, la productividad puede caer hasta en un 20%). </w:t>
      </w:r>
    </w:p>
    <w:p w:rsidR="00267C91" w:rsidRDefault="001C301D" w:rsidP="00F14982">
      <w:pPr>
        <w:jc w:val="both"/>
      </w:pPr>
      <w:r>
        <w:t xml:space="preserve">Agregan, además, como punto importante la disponibilidad del fósforo, ya que el aluminio u otros cationes lo fijan con facilidad en compuestos insolubles, disminuyendo la reserva de fósforo útil del suelo. Recomiendan usar especies naturalizadas o que han evolucionado en suelos ácidos, pero esto en desmedro de la productividad y el rendimiento económico, al ser especies poco comerciales o nutritivas, que además no producen </w:t>
      </w:r>
      <w:r w:rsidR="00031F01">
        <w:t>buena cantidad de producto económico.</w:t>
      </w:r>
    </w:p>
    <w:p w:rsidR="0001451C" w:rsidRDefault="0001451C" w:rsidP="00F14982">
      <w:pPr>
        <w:jc w:val="both"/>
      </w:pPr>
      <w:r>
        <w:t>En caso el suelo es alcalino, la sintomatología es análoga a las deficiencias, aunque se presentan muchos casos de toxicidad por elementos metálicos. Cabe resaltar que suelos alcalinos muchas veces son suelos sódicos, que al irse lavando liberan sodio. Esto no revestiría especial relevancia si no fuera porque el sodio destruye la estructura del suelo, compactándolo e impidiendo el desarrollo radicular de manera mecánica.</w:t>
      </w:r>
    </w:p>
    <w:p w:rsidR="0001451C" w:rsidRPr="00267C91" w:rsidRDefault="0001451C" w:rsidP="00F14982">
      <w:pPr>
        <w:jc w:val="both"/>
      </w:pPr>
      <w:r>
        <w:t>La toxicidad mineral es también característica de estos suelos, que deben ser mejorados con fertilizantes nitrogenados de reacción ácida (Bazán, comunicación personal en cátedra de Edafología).</w:t>
      </w:r>
    </w:p>
    <w:p w:rsidR="006160B4" w:rsidRDefault="0047717D" w:rsidP="006160B4">
      <w:pPr>
        <w:jc w:val="both"/>
      </w:pPr>
      <w:r>
        <w:t xml:space="preserve">Los resultados fueron evaluados y se anotaron los efectos de cada tratamiento. </w:t>
      </w:r>
      <w:r w:rsidR="001A63EB">
        <w:t>Se adjunta la tabla con los resultados.</w:t>
      </w:r>
      <w:r w:rsidR="006160B4">
        <w:t xml:space="preserve"> Por comunicación personal, el profesor del curso mencionó que la presencia de abundante látex en las lechugas </w:t>
      </w:r>
      <w:proofErr w:type="gramStart"/>
      <w:r w:rsidR="006160B4">
        <w:t>son</w:t>
      </w:r>
      <w:proofErr w:type="gramEnd"/>
      <w:r w:rsidR="006160B4">
        <w:t xml:space="preserve"> un síntoma de estrés, lo cual conlleva una pérdida comercial, al ser el látex amargo, lo que hace que el producto sea descartado.</w:t>
      </w:r>
    </w:p>
    <w:tbl>
      <w:tblPr>
        <w:tblW w:w="8789" w:type="dxa"/>
        <w:jc w:val="center"/>
        <w:tblInd w:w="70" w:type="dxa"/>
        <w:tblLayout w:type="fixed"/>
        <w:tblCellMar>
          <w:left w:w="70" w:type="dxa"/>
          <w:right w:w="70" w:type="dxa"/>
        </w:tblCellMar>
        <w:tblLook w:val="04A0"/>
      </w:tblPr>
      <w:tblGrid>
        <w:gridCol w:w="851"/>
        <w:gridCol w:w="423"/>
        <w:gridCol w:w="994"/>
        <w:gridCol w:w="993"/>
        <w:gridCol w:w="850"/>
        <w:gridCol w:w="4678"/>
      </w:tblGrid>
      <w:tr w:rsidR="001A63EB" w:rsidRPr="006160B4" w:rsidTr="00FC3344">
        <w:trPr>
          <w:trHeight w:val="180"/>
          <w:jc w:val="center"/>
        </w:trPr>
        <w:tc>
          <w:tcPr>
            <w:tcW w:w="851" w:type="dxa"/>
            <w:tcBorders>
              <w:top w:val="nil"/>
              <w:left w:val="nil"/>
              <w:bottom w:val="nil"/>
              <w:right w:val="nil"/>
            </w:tcBorders>
            <w:shd w:val="clear" w:color="auto" w:fill="auto"/>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p>
        </w:tc>
        <w:tc>
          <w:tcPr>
            <w:tcW w:w="423"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A63EB" w:rsidRPr="006160B4" w:rsidRDefault="001A63EB" w:rsidP="001A63EB">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pH</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rsidR="001A63EB" w:rsidRPr="006160B4" w:rsidRDefault="001A63EB" w:rsidP="001A63EB">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Longitud de raíz (cm)</w:t>
            </w:r>
          </w:p>
        </w:tc>
        <w:tc>
          <w:tcPr>
            <w:tcW w:w="993" w:type="dxa"/>
            <w:tcBorders>
              <w:top w:val="single" w:sz="4" w:space="0" w:color="auto"/>
              <w:left w:val="nil"/>
              <w:bottom w:val="single" w:sz="4" w:space="0" w:color="auto"/>
              <w:right w:val="single" w:sz="4" w:space="0" w:color="auto"/>
            </w:tcBorders>
            <w:shd w:val="clear" w:color="000000" w:fill="F2F2F2"/>
            <w:vAlign w:val="center"/>
            <w:hideMark/>
          </w:tcPr>
          <w:p w:rsidR="001A63EB" w:rsidRPr="006160B4" w:rsidRDefault="001A63EB" w:rsidP="001A63EB">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Altura de la cabeza (cm)</w:t>
            </w:r>
          </w:p>
        </w:tc>
        <w:tc>
          <w:tcPr>
            <w:tcW w:w="850" w:type="dxa"/>
            <w:tcBorders>
              <w:top w:val="single" w:sz="4" w:space="0" w:color="auto"/>
              <w:left w:val="nil"/>
              <w:bottom w:val="single" w:sz="4" w:space="0" w:color="auto"/>
              <w:right w:val="single" w:sz="4" w:space="0" w:color="auto"/>
            </w:tcBorders>
            <w:shd w:val="clear" w:color="000000" w:fill="F2F2F2"/>
            <w:vAlign w:val="center"/>
            <w:hideMark/>
          </w:tcPr>
          <w:p w:rsidR="001A63EB" w:rsidRPr="006160B4" w:rsidRDefault="001A63EB" w:rsidP="001A63EB">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Peso Fresco (g)</w:t>
            </w:r>
          </w:p>
        </w:tc>
        <w:tc>
          <w:tcPr>
            <w:tcW w:w="4678" w:type="dxa"/>
            <w:tcBorders>
              <w:top w:val="single" w:sz="4" w:space="0" w:color="auto"/>
              <w:left w:val="nil"/>
              <w:bottom w:val="single" w:sz="4" w:space="0" w:color="auto"/>
              <w:right w:val="single" w:sz="4" w:space="0" w:color="auto"/>
            </w:tcBorders>
            <w:shd w:val="clear" w:color="000000" w:fill="F2F2F2"/>
            <w:vAlign w:val="center"/>
            <w:hideMark/>
          </w:tcPr>
          <w:p w:rsidR="001A63EB" w:rsidRPr="006160B4" w:rsidRDefault="001A63EB" w:rsidP="001A63EB">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Observaciones cualitativas</w:t>
            </w:r>
          </w:p>
        </w:tc>
      </w:tr>
      <w:tr w:rsidR="001A63EB" w:rsidRPr="006160B4" w:rsidTr="00FC3344">
        <w:trPr>
          <w:trHeight w:val="7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Roja</w:t>
            </w:r>
          </w:p>
        </w:tc>
        <w:tc>
          <w:tcPr>
            <w:tcW w:w="423"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4.5</w:t>
            </w:r>
          </w:p>
        </w:tc>
        <w:tc>
          <w:tcPr>
            <w:tcW w:w="994"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9</w:t>
            </w:r>
          </w:p>
        </w:tc>
        <w:tc>
          <w:tcPr>
            <w:tcW w:w="993"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17</w:t>
            </w:r>
          </w:p>
        </w:tc>
        <w:tc>
          <w:tcPr>
            <w:tcW w:w="850"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43.9</w:t>
            </w:r>
          </w:p>
        </w:tc>
        <w:tc>
          <w:tcPr>
            <w:tcW w:w="4678"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Marchitez de hojas basales, coloración parda.</w:t>
            </w:r>
          </w:p>
        </w:tc>
      </w:tr>
      <w:tr w:rsidR="001A63EB" w:rsidRPr="006160B4" w:rsidTr="00FC3344">
        <w:trPr>
          <w:trHeight w:val="7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1A63EB" w:rsidRPr="006160B4" w:rsidRDefault="001A63EB" w:rsidP="001A63EB">
            <w:pPr>
              <w:spacing w:after="0" w:line="240" w:lineRule="auto"/>
              <w:rPr>
                <w:rFonts w:ascii="Calibri" w:eastAsia="Times New Roman" w:hAnsi="Calibri" w:cs="Times New Roman"/>
                <w:b/>
                <w:color w:val="000000"/>
                <w:lang w:val="es-PE" w:eastAsia="es-PE"/>
              </w:rPr>
            </w:pPr>
          </w:p>
        </w:tc>
        <w:tc>
          <w:tcPr>
            <w:tcW w:w="423"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5.5</w:t>
            </w:r>
          </w:p>
        </w:tc>
        <w:tc>
          <w:tcPr>
            <w:tcW w:w="994"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14</w:t>
            </w:r>
          </w:p>
        </w:tc>
        <w:tc>
          <w:tcPr>
            <w:tcW w:w="993"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17.5</w:t>
            </w:r>
          </w:p>
        </w:tc>
        <w:tc>
          <w:tcPr>
            <w:tcW w:w="850"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22.5</w:t>
            </w:r>
          </w:p>
        </w:tc>
        <w:tc>
          <w:tcPr>
            <w:tcW w:w="4678"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Marchitez y decoloración en las hojas más largas.</w:t>
            </w:r>
          </w:p>
        </w:tc>
      </w:tr>
      <w:tr w:rsidR="001A63EB" w:rsidRPr="006160B4" w:rsidTr="00FC3344">
        <w:trPr>
          <w:trHeight w:val="7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1A63EB" w:rsidRPr="006160B4" w:rsidRDefault="001A63EB" w:rsidP="001A63EB">
            <w:pPr>
              <w:spacing w:after="0" w:line="240" w:lineRule="auto"/>
              <w:rPr>
                <w:rFonts w:ascii="Calibri" w:eastAsia="Times New Roman" w:hAnsi="Calibri" w:cs="Times New Roman"/>
                <w:b/>
                <w:color w:val="000000"/>
                <w:lang w:val="es-PE" w:eastAsia="es-PE"/>
              </w:rPr>
            </w:pPr>
          </w:p>
        </w:tc>
        <w:tc>
          <w:tcPr>
            <w:tcW w:w="423"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6.5</w:t>
            </w:r>
          </w:p>
        </w:tc>
        <w:tc>
          <w:tcPr>
            <w:tcW w:w="994"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17</w:t>
            </w:r>
          </w:p>
        </w:tc>
        <w:tc>
          <w:tcPr>
            <w:tcW w:w="993"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19</w:t>
            </w:r>
          </w:p>
        </w:tc>
        <w:tc>
          <w:tcPr>
            <w:tcW w:w="850"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71.8</w:t>
            </w:r>
          </w:p>
        </w:tc>
        <w:tc>
          <w:tcPr>
            <w:tcW w:w="4678"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Óptimo</w:t>
            </w:r>
          </w:p>
        </w:tc>
      </w:tr>
      <w:tr w:rsidR="001A63EB" w:rsidRPr="006160B4" w:rsidTr="00FC3344">
        <w:trPr>
          <w:trHeight w:val="7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1A63EB" w:rsidRPr="006160B4" w:rsidRDefault="001A63EB" w:rsidP="001A63EB">
            <w:pPr>
              <w:spacing w:after="0" w:line="240" w:lineRule="auto"/>
              <w:rPr>
                <w:rFonts w:ascii="Calibri" w:eastAsia="Times New Roman" w:hAnsi="Calibri" w:cs="Times New Roman"/>
                <w:b/>
                <w:color w:val="000000"/>
                <w:lang w:val="es-PE" w:eastAsia="es-PE"/>
              </w:rPr>
            </w:pPr>
          </w:p>
        </w:tc>
        <w:tc>
          <w:tcPr>
            <w:tcW w:w="423"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7.5</w:t>
            </w:r>
          </w:p>
        </w:tc>
        <w:tc>
          <w:tcPr>
            <w:tcW w:w="994"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15</w:t>
            </w:r>
          </w:p>
        </w:tc>
        <w:tc>
          <w:tcPr>
            <w:tcW w:w="993"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21</w:t>
            </w:r>
          </w:p>
        </w:tc>
        <w:tc>
          <w:tcPr>
            <w:tcW w:w="850"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70.8</w:t>
            </w:r>
          </w:p>
        </w:tc>
        <w:tc>
          <w:tcPr>
            <w:tcW w:w="4678"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Óptimo</w:t>
            </w:r>
          </w:p>
        </w:tc>
      </w:tr>
      <w:tr w:rsidR="001A63EB" w:rsidRPr="006160B4" w:rsidTr="00FC3344">
        <w:trPr>
          <w:trHeight w:val="156"/>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1A63EB" w:rsidRPr="006160B4" w:rsidRDefault="001A63EB" w:rsidP="001A63EB">
            <w:pPr>
              <w:spacing w:after="0" w:line="240" w:lineRule="auto"/>
              <w:rPr>
                <w:rFonts w:ascii="Calibri" w:eastAsia="Times New Roman" w:hAnsi="Calibri" w:cs="Times New Roman"/>
                <w:b/>
                <w:color w:val="000000"/>
                <w:lang w:val="es-PE" w:eastAsia="es-PE"/>
              </w:rPr>
            </w:pPr>
          </w:p>
        </w:tc>
        <w:tc>
          <w:tcPr>
            <w:tcW w:w="423"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8.5</w:t>
            </w:r>
          </w:p>
        </w:tc>
        <w:tc>
          <w:tcPr>
            <w:tcW w:w="994"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21</w:t>
            </w:r>
          </w:p>
        </w:tc>
        <w:tc>
          <w:tcPr>
            <w:tcW w:w="993"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23</w:t>
            </w:r>
          </w:p>
        </w:tc>
        <w:tc>
          <w:tcPr>
            <w:tcW w:w="850"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107.6</w:t>
            </w:r>
          </w:p>
        </w:tc>
        <w:tc>
          <w:tcPr>
            <w:tcW w:w="4678" w:type="dxa"/>
            <w:tcBorders>
              <w:top w:val="nil"/>
              <w:left w:val="nil"/>
              <w:bottom w:val="single" w:sz="4" w:space="0" w:color="auto"/>
              <w:right w:val="single" w:sz="4" w:space="0" w:color="auto"/>
            </w:tcBorders>
            <w:shd w:val="clear" w:color="000000" w:fill="E6B9B8"/>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Sobre - crecimiento de hojas. No forma cabeza. Mucho látex. Sabor muy amargo.</w:t>
            </w:r>
          </w:p>
        </w:tc>
      </w:tr>
      <w:tr w:rsidR="001A63EB" w:rsidRPr="006160B4" w:rsidTr="00FC3344">
        <w:trPr>
          <w:trHeight w:val="191"/>
          <w:jc w:val="center"/>
        </w:trPr>
        <w:tc>
          <w:tcPr>
            <w:tcW w:w="851" w:type="dxa"/>
            <w:vMerge w:val="restart"/>
            <w:tcBorders>
              <w:top w:val="nil"/>
              <w:left w:val="single" w:sz="4" w:space="0" w:color="auto"/>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b/>
                <w:color w:val="000000"/>
                <w:lang w:val="es-PE" w:eastAsia="es-PE"/>
              </w:rPr>
            </w:pPr>
            <w:r w:rsidRPr="006160B4">
              <w:rPr>
                <w:rFonts w:ascii="Calibri" w:eastAsia="Times New Roman" w:hAnsi="Calibri" w:cs="Times New Roman"/>
                <w:b/>
                <w:color w:val="000000"/>
                <w:lang w:val="es-PE" w:eastAsia="es-PE"/>
              </w:rPr>
              <w:t>Verde</w:t>
            </w:r>
          </w:p>
        </w:tc>
        <w:tc>
          <w:tcPr>
            <w:tcW w:w="423"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4.5</w:t>
            </w:r>
          </w:p>
        </w:tc>
        <w:tc>
          <w:tcPr>
            <w:tcW w:w="994"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10.5</w:t>
            </w:r>
          </w:p>
        </w:tc>
        <w:tc>
          <w:tcPr>
            <w:tcW w:w="993"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9</w:t>
            </w:r>
          </w:p>
        </w:tc>
        <w:tc>
          <w:tcPr>
            <w:tcW w:w="850"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41.6</w:t>
            </w:r>
          </w:p>
        </w:tc>
        <w:tc>
          <w:tcPr>
            <w:tcW w:w="4678"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Marchitez de hojas, raíces de pobre crecimiento y necróticas.</w:t>
            </w:r>
          </w:p>
        </w:tc>
      </w:tr>
      <w:tr w:rsidR="001A63EB" w:rsidRPr="006160B4" w:rsidTr="00FC3344">
        <w:trPr>
          <w:trHeight w:val="70"/>
          <w:jc w:val="center"/>
        </w:trPr>
        <w:tc>
          <w:tcPr>
            <w:tcW w:w="851" w:type="dxa"/>
            <w:vMerge/>
            <w:tcBorders>
              <w:top w:val="nil"/>
              <w:left w:val="single" w:sz="4" w:space="0" w:color="auto"/>
              <w:bottom w:val="single" w:sz="4" w:space="0" w:color="auto"/>
              <w:right w:val="single" w:sz="4" w:space="0" w:color="auto"/>
            </w:tcBorders>
            <w:vAlign w:val="center"/>
            <w:hideMark/>
          </w:tcPr>
          <w:p w:rsidR="001A63EB" w:rsidRPr="006160B4" w:rsidRDefault="001A63EB" w:rsidP="001A63EB">
            <w:pPr>
              <w:spacing w:after="0" w:line="240" w:lineRule="auto"/>
              <w:rPr>
                <w:rFonts w:ascii="Calibri" w:eastAsia="Times New Roman" w:hAnsi="Calibri" w:cs="Times New Roman"/>
                <w:color w:val="000000"/>
                <w:lang w:val="es-PE" w:eastAsia="es-PE"/>
              </w:rPr>
            </w:pPr>
          </w:p>
        </w:tc>
        <w:tc>
          <w:tcPr>
            <w:tcW w:w="423"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5.5</w:t>
            </w:r>
          </w:p>
        </w:tc>
        <w:tc>
          <w:tcPr>
            <w:tcW w:w="994"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14.5</w:t>
            </w:r>
          </w:p>
        </w:tc>
        <w:tc>
          <w:tcPr>
            <w:tcW w:w="993"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9</w:t>
            </w:r>
          </w:p>
        </w:tc>
        <w:tc>
          <w:tcPr>
            <w:tcW w:w="850"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61</w:t>
            </w:r>
          </w:p>
        </w:tc>
        <w:tc>
          <w:tcPr>
            <w:tcW w:w="4678"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Clorosis, marchitez y raíces cortas y necróticas.</w:t>
            </w:r>
          </w:p>
        </w:tc>
      </w:tr>
      <w:tr w:rsidR="001A63EB" w:rsidRPr="006160B4" w:rsidTr="00FC3344">
        <w:trPr>
          <w:trHeight w:val="70"/>
          <w:jc w:val="center"/>
        </w:trPr>
        <w:tc>
          <w:tcPr>
            <w:tcW w:w="851" w:type="dxa"/>
            <w:vMerge/>
            <w:tcBorders>
              <w:top w:val="nil"/>
              <w:left w:val="single" w:sz="4" w:space="0" w:color="auto"/>
              <w:bottom w:val="single" w:sz="4" w:space="0" w:color="auto"/>
              <w:right w:val="single" w:sz="4" w:space="0" w:color="auto"/>
            </w:tcBorders>
            <w:vAlign w:val="center"/>
            <w:hideMark/>
          </w:tcPr>
          <w:p w:rsidR="001A63EB" w:rsidRPr="006160B4" w:rsidRDefault="001A63EB" w:rsidP="001A63EB">
            <w:pPr>
              <w:spacing w:after="0" w:line="240" w:lineRule="auto"/>
              <w:rPr>
                <w:rFonts w:ascii="Calibri" w:eastAsia="Times New Roman" w:hAnsi="Calibri" w:cs="Times New Roman"/>
                <w:color w:val="000000"/>
                <w:lang w:val="es-PE" w:eastAsia="es-PE"/>
              </w:rPr>
            </w:pPr>
          </w:p>
        </w:tc>
        <w:tc>
          <w:tcPr>
            <w:tcW w:w="423"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6.5</w:t>
            </w:r>
          </w:p>
        </w:tc>
        <w:tc>
          <w:tcPr>
            <w:tcW w:w="994"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15.5</w:t>
            </w:r>
          </w:p>
        </w:tc>
        <w:tc>
          <w:tcPr>
            <w:tcW w:w="993"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11</w:t>
            </w:r>
          </w:p>
        </w:tc>
        <w:tc>
          <w:tcPr>
            <w:tcW w:w="850"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57</w:t>
            </w:r>
          </w:p>
        </w:tc>
        <w:tc>
          <w:tcPr>
            <w:tcW w:w="4678"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Hojas de color normal, algo cortas. Pobre crecimiento radicular. Sabor agradable.</w:t>
            </w:r>
          </w:p>
        </w:tc>
      </w:tr>
      <w:tr w:rsidR="001A63EB" w:rsidRPr="006160B4" w:rsidTr="00FC3344">
        <w:trPr>
          <w:trHeight w:val="70"/>
          <w:jc w:val="center"/>
        </w:trPr>
        <w:tc>
          <w:tcPr>
            <w:tcW w:w="851" w:type="dxa"/>
            <w:vMerge/>
            <w:tcBorders>
              <w:top w:val="nil"/>
              <w:left w:val="single" w:sz="4" w:space="0" w:color="auto"/>
              <w:bottom w:val="single" w:sz="4" w:space="0" w:color="auto"/>
              <w:right w:val="single" w:sz="4" w:space="0" w:color="auto"/>
            </w:tcBorders>
            <w:vAlign w:val="center"/>
            <w:hideMark/>
          </w:tcPr>
          <w:p w:rsidR="001A63EB" w:rsidRPr="006160B4" w:rsidRDefault="001A63EB" w:rsidP="001A63EB">
            <w:pPr>
              <w:spacing w:after="0" w:line="240" w:lineRule="auto"/>
              <w:rPr>
                <w:rFonts w:ascii="Calibri" w:eastAsia="Times New Roman" w:hAnsi="Calibri" w:cs="Times New Roman"/>
                <w:color w:val="000000"/>
                <w:lang w:val="es-PE" w:eastAsia="es-PE"/>
              </w:rPr>
            </w:pPr>
          </w:p>
        </w:tc>
        <w:tc>
          <w:tcPr>
            <w:tcW w:w="423"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7.5</w:t>
            </w:r>
          </w:p>
        </w:tc>
        <w:tc>
          <w:tcPr>
            <w:tcW w:w="994"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18</w:t>
            </w:r>
          </w:p>
        </w:tc>
        <w:tc>
          <w:tcPr>
            <w:tcW w:w="993"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13</w:t>
            </w:r>
          </w:p>
        </w:tc>
        <w:tc>
          <w:tcPr>
            <w:tcW w:w="850"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92</w:t>
            </w:r>
          </w:p>
        </w:tc>
        <w:tc>
          <w:tcPr>
            <w:tcW w:w="4678"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Óptimo</w:t>
            </w:r>
          </w:p>
        </w:tc>
      </w:tr>
      <w:tr w:rsidR="001A63EB" w:rsidRPr="006160B4" w:rsidTr="00FC3344">
        <w:trPr>
          <w:trHeight w:val="104"/>
          <w:jc w:val="center"/>
        </w:trPr>
        <w:tc>
          <w:tcPr>
            <w:tcW w:w="851" w:type="dxa"/>
            <w:vMerge/>
            <w:tcBorders>
              <w:top w:val="nil"/>
              <w:left w:val="single" w:sz="4" w:space="0" w:color="auto"/>
              <w:bottom w:val="single" w:sz="4" w:space="0" w:color="auto"/>
              <w:right w:val="single" w:sz="4" w:space="0" w:color="auto"/>
            </w:tcBorders>
            <w:vAlign w:val="center"/>
            <w:hideMark/>
          </w:tcPr>
          <w:p w:rsidR="001A63EB" w:rsidRPr="006160B4" w:rsidRDefault="001A63EB" w:rsidP="001A63EB">
            <w:pPr>
              <w:spacing w:after="0" w:line="240" w:lineRule="auto"/>
              <w:rPr>
                <w:rFonts w:ascii="Calibri" w:eastAsia="Times New Roman" w:hAnsi="Calibri" w:cs="Times New Roman"/>
                <w:color w:val="000000"/>
                <w:lang w:val="es-PE" w:eastAsia="es-PE"/>
              </w:rPr>
            </w:pPr>
          </w:p>
        </w:tc>
        <w:tc>
          <w:tcPr>
            <w:tcW w:w="423"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8.5</w:t>
            </w:r>
          </w:p>
        </w:tc>
        <w:tc>
          <w:tcPr>
            <w:tcW w:w="994"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17</w:t>
            </w:r>
          </w:p>
        </w:tc>
        <w:tc>
          <w:tcPr>
            <w:tcW w:w="993"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22</w:t>
            </w:r>
          </w:p>
        </w:tc>
        <w:tc>
          <w:tcPr>
            <w:tcW w:w="850"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104</w:t>
            </w:r>
          </w:p>
        </w:tc>
        <w:tc>
          <w:tcPr>
            <w:tcW w:w="4678" w:type="dxa"/>
            <w:tcBorders>
              <w:top w:val="nil"/>
              <w:left w:val="nil"/>
              <w:bottom w:val="single" w:sz="4" w:space="0" w:color="auto"/>
              <w:right w:val="single" w:sz="4" w:space="0" w:color="auto"/>
            </w:tcBorders>
            <w:shd w:val="clear" w:color="000000" w:fill="D7E4BC"/>
            <w:vAlign w:val="center"/>
            <w:hideMark/>
          </w:tcPr>
          <w:p w:rsidR="001A63EB" w:rsidRPr="006160B4" w:rsidRDefault="001A63EB" w:rsidP="001A63EB">
            <w:pPr>
              <w:spacing w:after="0" w:line="240" w:lineRule="auto"/>
              <w:jc w:val="center"/>
              <w:rPr>
                <w:rFonts w:ascii="Calibri" w:eastAsia="Times New Roman" w:hAnsi="Calibri" w:cs="Times New Roman"/>
                <w:color w:val="000000"/>
                <w:lang w:val="es-PE" w:eastAsia="es-PE"/>
              </w:rPr>
            </w:pPr>
            <w:r w:rsidRPr="006160B4">
              <w:rPr>
                <w:rFonts w:ascii="Calibri" w:eastAsia="Times New Roman" w:hAnsi="Calibri" w:cs="Times New Roman"/>
                <w:color w:val="000000"/>
                <w:lang w:val="es-PE" w:eastAsia="es-PE"/>
              </w:rPr>
              <w:t>Sobre - crecimiento de hojas. No forma cabeza. Mucho látex. Sabor muy amargo.</w:t>
            </w:r>
          </w:p>
        </w:tc>
      </w:tr>
    </w:tbl>
    <w:p w:rsidR="005764B9" w:rsidRDefault="00005B68" w:rsidP="00F14982">
      <w:pPr>
        <w:jc w:val="both"/>
        <w:rPr>
          <w:sz w:val="16"/>
        </w:rPr>
      </w:pPr>
      <w:r>
        <w:rPr>
          <w:sz w:val="16"/>
        </w:rPr>
        <w:t xml:space="preserve">Tabla 2.2 Resultados de la evaluación física. </w:t>
      </w:r>
      <w:r>
        <w:rPr>
          <w:b/>
          <w:sz w:val="16"/>
        </w:rPr>
        <w:t>Fuente</w:t>
      </w:r>
      <w:r>
        <w:rPr>
          <w:sz w:val="16"/>
        </w:rPr>
        <w:t>: Elaboración propia.</w:t>
      </w:r>
    </w:p>
    <w:p w:rsidR="006160B4" w:rsidRDefault="00416DDA" w:rsidP="00F14982">
      <w:pPr>
        <w:jc w:val="both"/>
      </w:pPr>
      <w:r>
        <w:lastRenderedPageBreak/>
        <w:t>Se observa que los mejores valores y la mejor evaluación cualitativa se encuentra en los rangos de pH levemente básico, lo que se explica ya que conforme avanzaba el tiempo y las soluciones se acidificaban aproximadamente un punto de pH en la semana, la que llegaba a un pH ideal era justamente la de pH levemente básico.</w:t>
      </w:r>
      <w:r w:rsidR="006160B4">
        <w:t xml:space="preserve"> </w:t>
      </w:r>
    </w:p>
    <w:p w:rsidR="0047717D" w:rsidRDefault="006160B4" w:rsidP="00F14982">
      <w:pPr>
        <w:jc w:val="both"/>
      </w:pPr>
      <w:r>
        <w:t>El efecto de</w:t>
      </w:r>
      <w:r w:rsidR="0047717D">
        <w:t xml:space="preserve"> queda constatado en los siguientes gráficos, que muestran con claridad el comportamiento de cada serie de datos.</w:t>
      </w:r>
    </w:p>
    <w:p w:rsidR="002D6AA2" w:rsidRPr="002D6AA2" w:rsidRDefault="0047717D" w:rsidP="002D6AA2">
      <w:pPr>
        <w:jc w:val="center"/>
        <w:rPr>
          <w:sz w:val="2"/>
        </w:rPr>
      </w:pPr>
      <w:r w:rsidRPr="0047717D">
        <w:drawing>
          <wp:inline distT="0" distB="0" distL="0" distR="0">
            <wp:extent cx="2838450" cy="2495550"/>
            <wp:effectExtent l="19050" t="0" r="19050" b="0"/>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717D" w:rsidRPr="002D6AA2" w:rsidRDefault="0047717D" w:rsidP="002D6AA2">
      <w:pPr>
        <w:jc w:val="center"/>
        <w:rPr>
          <w:sz w:val="2"/>
        </w:rPr>
      </w:pPr>
      <w:r w:rsidRPr="0047717D">
        <w:drawing>
          <wp:inline distT="0" distB="0" distL="0" distR="0">
            <wp:extent cx="2838450" cy="2181225"/>
            <wp:effectExtent l="19050" t="0" r="19050" b="0"/>
            <wp:docPr id="2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160B4" w:rsidRDefault="006160B4" w:rsidP="0047717D">
      <w:pPr>
        <w:jc w:val="center"/>
      </w:pPr>
      <w:r w:rsidRPr="006160B4">
        <w:drawing>
          <wp:inline distT="0" distB="0" distL="0" distR="0">
            <wp:extent cx="2828925" cy="2009775"/>
            <wp:effectExtent l="19050" t="0" r="9525" b="0"/>
            <wp:docPr id="2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717D" w:rsidRPr="0047717D" w:rsidRDefault="0047717D" w:rsidP="0047717D">
      <w:pPr>
        <w:jc w:val="center"/>
        <w:rPr>
          <w:sz w:val="16"/>
        </w:rPr>
      </w:pPr>
      <w:r>
        <w:rPr>
          <w:sz w:val="16"/>
        </w:rPr>
        <w:t xml:space="preserve">Gráficos 2.1, 2.2, 2.3: evaluación </w:t>
      </w:r>
      <w:proofErr w:type="spellStart"/>
      <w:r>
        <w:rPr>
          <w:sz w:val="16"/>
        </w:rPr>
        <w:t>cuantitaiva</w:t>
      </w:r>
      <w:proofErr w:type="spellEnd"/>
      <w:r>
        <w:rPr>
          <w:sz w:val="16"/>
        </w:rPr>
        <w:t xml:space="preserve"> de las longitudes de la cabeza y la raíz, así como el peso fresco por pH.</w:t>
      </w:r>
      <w:r w:rsidR="002D6AA2">
        <w:rPr>
          <w:sz w:val="16"/>
        </w:rPr>
        <w:t xml:space="preserve"> El color rojo corresponde al cultivar </w:t>
      </w:r>
      <w:proofErr w:type="spellStart"/>
      <w:r w:rsidR="002D6AA2">
        <w:rPr>
          <w:sz w:val="16"/>
        </w:rPr>
        <w:t>Lunix</w:t>
      </w:r>
      <w:proofErr w:type="spellEnd"/>
      <w:r w:rsidR="002D6AA2">
        <w:rPr>
          <w:sz w:val="16"/>
        </w:rPr>
        <w:t xml:space="preserve"> y el verde al </w:t>
      </w:r>
      <w:proofErr w:type="gramStart"/>
      <w:r w:rsidR="002D6AA2">
        <w:rPr>
          <w:sz w:val="16"/>
        </w:rPr>
        <w:t>Americano</w:t>
      </w:r>
      <w:proofErr w:type="gramEnd"/>
      <w:r w:rsidR="002D6AA2">
        <w:rPr>
          <w:sz w:val="16"/>
        </w:rPr>
        <w:t>.</w:t>
      </w:r>
      <w:r>
        <w:rPr>
          <w:sz w:val="16"/>
        </w:rPr>
        <w:t xml:space="preserve"> </w:t>
      </w:r>
      <w:r w:rsidRPr="0047717D">
        <w:rPr>
          <w:b/>
          <w:sz w:val="16"/>
        </w:rPr>
        <w:t>Fuente</w:t>
      </w:r>
      <w:r>
        <w:rPr>
          <w:sz w:val="16"/>
        </w:rPr>
        <w:t>: Elaboración propia.</w:t>
      </w:r>
    </w:p>
    <w:p w:rsidR="0047717D" w:rsidRDefault="00517A6A" w:rsidP="00517A6A">
      <w:pPr>
        <w:jc w:val="both"/>
        <w:rPr>
          <w:b/>
        </w:rPr>
      </w:pPr>
      <w:r>
        <w:rPr>
          <w:b/>
        </w:rPr>
        <w:lastRenderedPageBreak/>
        <w:t>5. Conclusiones</w:t>
      </w:r>
    </w:p>
    <w:p w:rsidR="00517A6A" w:rsidRDefault="00517A6A" w:rsidP="00517A6A">
      <w:pPr>
        <w:jc w:val="both"/>
      </w:pPr>
      <w:r>
        <w:t>Se determin</w:t>
      </w:r>
      <w:r w:rsidR="003C71AD">
        <w:t>ó que el rango ideal de pH para el crecimiento de las plantas de lechuga se encuentra entre 6,5 y 7,5.</w:t>
      </w:r>
    </w:p>
    <w:p w:rsidR="003C71AD" w:rsidRDefault="003C71AD" w:rsidP="00517A6A">
      <w:pPr>
        <w:jc w:val="both"/>
      </w:pPr>
      <w:r>
        <w:t>También se pudo observar que a pH ácidos, la longitud radicular y la altura de la cabeza son significativamente menores que los valores medios. Además, la apariencia de la cabeza es marchita</w:t>
      </w:r>
      <w:r w:rsidR="0001451C">
        <w:t>, decolorada y necrótica</w:t>
      </w:r>
      <w:r>
        <w:t>, por lo tanto desagradable como producto comercial.</w:t>
      </w:r>
    </w:p>
    <w:p w:rsidR="003C71AD" w:rsidRDefault="003C71AD" w:rsidP="00517A6A">
      <w:pPr>
        <w:jc w:val="both"/>
      </w:pPr>
      <w:r>
        <w:t>Finalmente, se observó que a pH muy alcalinos</w:t>
      </w:r>
      <w:r w:rsidR="0001451C">
        <w:t>, crecían pocas hojas, muy sueltas y altas; sin formar cabeza. Además, si bien la apariencia de la planta no es marchita y los colores son intensos, el sabor es demasiado amargo por el exceso de látex, lo que la descalifica como producto comercial.</w:t>
      </w:r>
    </w:p>
    <w:p w:rsidR="0001451C" w:rsidRPr="00517A6A" w:rsidRDefault="0001451C" w:rsidP="00517A6A">
      <w:pPr>
        <w:jc w:val="both"/>
      </w:pPr>
      <w:r>
        <w:t>Podemos concluir que el estrés alcalino es mejor soportado por la lechuga, que muestra coloración más brillante y menos tejido radicular necrótico, aunque de cualquier forma no es deseable para fines comerciales.</w:t>
      </w:r>
    </w:p>
    <w:p w:rsidR="00486D6F" w:rsidRDefault="0092247A" w:rsidP="00F14982">
      <w:pPr>
        <w:jc w:val="both"/>
        <w:rPr>
          <w:b/>
        </w:rPr>
      </w:pPr>
      <w:r>
        <w:br w:type="column"/>
      </w:r>
      <w:r w:rsidR="00486D6F">
        <w:rPr>
          <w:b/>
        </w:rPr>
        <w:lastRenderedPageBreak/>
        <w:t>Bibliografía:</w:t>
      </w:r>
    </w:p>
    <w:p w:rsidR="009F76E2" w:rsidRPr="009F76E2" w:rsidRDefault="009F76E2" w:rsidP="002E2E02">
      <w:pPr>
        <w:pStyle w:val="Sinespaciado"/>
        <w:numPr>
          <w:ilvl w:val="0"/>
          <w:numId w:val="3"/>
        </w:numPr>
        <w:ind w:left="142" w:hanging="142"/>
        <w:jc w:val="both"/>
      </w:pPr>
      <w:r w:rsidRPr="009F76E2">
        <w:t>GONZÁLEZ, JAVIERA; PASTENES, CLAUDIO y HORTON, PETER. Efecto de la temperatura, el estrés hídrico y luminoso sobre la heterogeneidad del fotosistema II en cuatro variedades de poroto (</w:t>
      </w:r>
      <w:proofErr w:type="spellStart"/>
      <w:r w:rsidRPr="009F76E2">
        <w:t>Phaseolus</w:t>
      </w:r>
      <w:proofErr w:type="spellEnd"/>
      <w:r w:rsidRPr="009F76E2">
        <w:t xml:space="preserve"> vulgaris L.). Rev. chil. hist. nat. vol.74, n.4, pp. 779-791. 2001</w:t>
      </w:r>
    </w:p>
    <w:p w:rsidR="009F76E2" w:rsidRPr="009F76E2" w:rsidRDefault="009F76E2" w:rsidP="002E2E02">
      <w:pPr>
        <w:pStyle w:val="Sinespaciado"/>
        <w:numPr>
          <w:ilvl w:val="0"/>
          <w:numId w:val="3"/>
        </w:numPr>
        <w:ind w:left="142" w:hanging="142"/>
        <w:jc w:val="both"/>
      </w:pPr>
      <w:r w:rsidRPr="009F76E2">
        <w:t>BACCARO, K.; DEGORGUE, M.; LUCCA, M.; PICONE, L.; ZAMUNER, E.; ANDREOLI, Y. Calidad del agua para consumo humano y riego en muestras del cinturón hortícola de Mar de Plata. RIA, 35 (3): 95-110. 2006</w:t>
      </w:r>
    </w:p>
    <w:p w:rsidR="009F76E2" w:rsidRPr="009F76E2" w:rsidRDefault="009F76E2" w:rsidP="002D6AA2">
      <w:pPr>
        <w:pStyle w:val="Sinespaciado"/>
        <w:numPr>
          <w:ilvl w:val="0"/>
          <w:numId w:val="3"/>
        </w:numPr>
        <w:ind w:left="142" w:hanging="142"/>
        <w:jc w:val="both"/>
      </w:pPr>
      <w:r w:rsidRPr="009F76E2">
        <w:t>BAZAN T. R.; C. ROMERO L.; M. VALENCIA R.; J. NAZARIO R.; S. GARCÍA B. Guía de prácticas de Edafología. Departamento de Suelos - UNALM. 2009</w:t>
      </w:r>
    </w:p>
    <w:p w:rsidR="008E3322" w:rsidRDefault="009F76E2" w:rsidP="002D6AA2">
      <w:pPr>
        <w:pStyle w:val="Sinespaciado"/>
        <w:numPr>
          <w:ilvl w:val="0"/>
          <w:numId w:val="3"/>
        </w:numPr>
        <w:ind w:left="142" w:hanging="142"/>
        <w:jc w:val="both"/>
      </w:pPr>
      <w:r w:rsidRPr="009F76E2">
        <w:t>FACULTAD DE AGRONOMÍA DE LA UNIVERSIDAD DE LA REPÚBLICA DEL URUGUAY - FISIOLOGÍA VEGETAL</w:t>
      </w:r>
      <w:r w:rsidR="002E2E02">
        <w:t>; VIEGA, LUIS</w:t>
      </w:r>
      <w:r w:rsidRPr="009F76E2">
        <w:t>. Apuntes y materiales de clase. Sin fecha.</w:t>
      </w:r>
    </w:p>
    <w:p w:rsidR="008E3322" w:rsidRPr="008E3322" w:rsidRDefault="008E3322" w:rsidP="002D6AA2">
      <w:pPr>
        <w:pStyle w:val="Sinespaciado"/>
        <w:numPr>
          <w:ilvl w:val="0"/>
          <w:numId w:val="3"/>
        </w:numPr>
        <w:ind w:left="142" w:hanging="142"/>
        <w:jc w:val="both"/>
      </w:pPr>
      <w:r w:rsidRPr="008E3322">
        <w:rPr>
          <w:lang w:val="es-PE"/>
        </w:rPr>
        <w:t xml:space="preserve">FUENTES ALFONSO, LETICIA; SOSA DEL CASTILLO, MARYLA; PÉREZ HERNÁNDEZ, YUNEL. </w:t>
      </w:r>
      <w:r w:rsidRPr="008E3322">
        <w:rPr>
          <w:rFonts w:cs="Arial-BoldMT"/>
          <w:bCs/>
          <w:szCs w:val="24"/>
          <w:lang w:val="es-PE"/>
        </w:rPr>
        <w:t>Aspectos Fisiológicos y Bioquímicos del Estrés Salino en Plantas. Sin fecha.</w:t>
      </w:r>
    </w:p>
    <w:p w:rsidR="008E3322" w:rsidRPr="008E3322" w:rsidRDefault="008E3322" w:rsidP="002D6AA2">
      <w:pPr>
        <w:pStyle w:val="Sinespaciado"/>
        <w:numPr>
          <w:ilvl w:val="0"/>
          <w:numId w:val="3"/>
        </w:numPr>
        <w:ind w:left="142" w:hanging="142"/>
        <w:jc w:val="both"/>
      </w:pPr>
      <w:r w:rsidRPr="008E3322">
        <w:rPr>
          <w:rFonts w:ascii="Calibri" w:eastAsia="Times New Roman" w:hAnsi="Calibri" w:cs="Times New Roman"/>
          <w:color w:val="000000"/>
          <w:lang w:eastAsia="es-PE"/>
        </w:rPr>
        <w:t>MASALÍAS, DAMIÁN M. Efecto de distintos factores de estrés abióticos sobre el contenido de clorofila foliar en espinaca  (</w:t>
      </w:r>
      <w:proofErr w:type="spellStart"/>
      <w:r w:rsidRPr="008E3322">
        <w:rPr>
          <w:rFonts w:ascii="Calibri" w:eastAsia="Times New Roman" w:hAnsi="Calibri" w:cs="Times New Roman"/>
          <w:i/>
          <w:iCs/>
          <w:color w:val="000000"/>
          <w:lang w:eastAsia="es-PE"/>
        </w:rPr>
        <w:t>Spinacea</w:t>
      </w:r>
      <w:proofErr w:type="spellEnd"/>
      <w:r w:rsidRPr="008E3322">
        <w:rPr>
          <w:rFonts w:ascii="Calibri" w:eastAsia="Times New Roman" w:hAnsi="Calibri" w:cs="Times New Roman"/>
          <w:i/>
          <w:iCs/>
          <w:color w:val="000000"/>
          <w:lang w:eastAsia="es-PE"/>
        </w:rPr>
        <w:t xml:space="preserve"> oleracea</w:t>
      </w:r>
      <w:r w:rsidRPr="008E3322">
        <w:rPr>
          <w:rFonts w:ascii="Calibri" w:eastAsia="Times New Roman" w:hAnsi="Calibri" w:cs="Times New Roman"/>
          <w:color w:val="000000"/>
          <w:lang w:eastAsia="es-PE"/>
        </w:rPr>
        <w:t>). Sin fecha.</w:t>
      </w:r>
    </w:p>
    <w:p w:rsidR="008E3322" w:rsidRPr="008E3322" w:rsidRDefault="008E3322" w:rsidP="002D6AA2">
      <w:pPr>
        <w:pStyle w:val="Sinespaciado"/>
        <w:numPr>
          <w:ilvl w:val="0"/>
          <w:numId w:val="3"/>
        </w:numPr>
        <w:ind w:left="142" w:hanging="142"/>
        <w:jc w:val="both"/>
        <w:rPr>
          <w:lang w:val="en-US"/>
        </w:rPr>
      </w:pPr>
      <w:r w:rsidRPr="008E3322">
        <w:rPr>
          <w:rFonts w:ascii="Calibri" w:eastAsia="Times New Roman" w:hAnsi="Calibri" w:cs="Times New Roman"/>
          <w:color w:val="222222"/>
          <w:lang w:val="en-US" w:eastAsia="es-PE"/>
        </w:rPr>
        <w:t xml:space="preserve">O. A. M. </w:t>
      </w:r>
      <w:r>
        <w:rPr>
          <w:rFonts w:ascii="Calibri" w:eastAsia="Times New Roman" w:hAnsi="Calibri" w:cs="Times New Roman"/>
          <w:color w:val="222222"/>
          <w:lang w:val="en-US" w:eastAsia="es-PE"/>
        </w:rPr>
        <w:t>LEWIS, D. M. JAMES</w:t>
      </w:r>
      <w:proofErr w:type="gramStart"/>
      <w:r>
        <w:rPr>
          <w:rFonts w:ascii="Calibri" w:eastAsia="Times New Roman" w:hAnsi="Calibri" w:cs="Times New Roman"/>
          <w:color w:val="222222"/>
          <w:lang w:val="en-US" w:eastAsia="es-PE"/>
        </w:rPr>
        <w:t xml:space="preserve">, </w:t>
      </w:r>
      <w:r w:rsidRPr="008E3322">
        <w:rPr>
          <w:rFonts w:ascii="Calibri" w:eastAsia="Times New Roman" w:hAnsi="Calibri" w:cs="Times New Roman"/>
          <w:color w:val="222222"/>
          <w:lang w:val="en-US" w:eastAsia="es-PE"/>
        </w:rPr>
        <w:t xml:space="preserve"> E</w:t>
      </w:r>
      <w:proofErr w:type="gramEnd"/>
      <w:r w:rsidRPr="008E3322">
        <w:rPr>
          <w:rFonts w:ascii="Calibri" w:eastAsia="Times New Roman" w:hAnsi="Calibri" w:cs="Times New Roman"/>
          <w:color w:val="222222"/>
          <w:lang w:val="en-US" w:eastAsia="es-PE"/>
        </w:rPr>
        <w:t>. J. HEWITT. Nitrogen Assimilation in Barley (</w:t>
      </w:r>
      <w:proofErr w:type="spellStart"/>
      <w:r w:rsidRPr="008E3322">
        <w:rPr>
          <w:rFonts w:ascii="Calibri" w:eastAsia="Times New Roman" w:hAnsi="Calibri" w:cs="Times New Roman"/>
          <w:color w:val="222222"/>
          <w:lang w:val="en-US" w:eastAsia="es-PE"/>
        </w:rPr>
        <w:t>Hordeum</w:t>
      </w:r>
      <w:proofErr w:type="spellEnd"/>
      <w:r w:rsidRPr="008E3322">
        <w:rPr>
          <w:rFonts w:ascii="Calibri" w:eastAsia="Times New Roman" w:hAnsi="Calibri" w:cs="Times New Roman"/>
          <w:color w:val="222222"/>
          <w:lang w:val="en-US" w:eastAsia="es-PE"/>
        </w:rPr>
        <w:t xml:space="preserve"> </w:t>
      </w:r>
      <w:proofErr w:type="spellStart"/>
      <w:r w:rsidRPr="008E3322">
        <w:rPr>
          <w:rFonts w:ascii="Calibri" w:eastAsia="Times New Roman" w:hAnsi="Calibri" w:cs="Times New Roman"/>
          <w:color w:val="222222"/>
          <w:lang w:val="en-US" w:eastAsia="es-PE"/>
        </w:rPr>
        <w:t>vulgare</w:t>
      </w:r>
      <w:proofErr w:type="spellEnd"/>
      <w:r w:rsidRPr="008E3322">
        <w:rPr>
          <w:rFonts w:ascii="Calibri" w:eastAsia="Times New Roman" w:hAnsi="Calibri" w:cs="Times New Roman"/>
          <w:color w:val="222222"/>
          <w:lang w:val="en-US" w:eastAsia="es-PE"/>
        </w:rPr>
        <w:t xml:space="preserve"> L. cv. Mazurka) in Response to Nitrate and Ammonium Nutrition Ann </w:t>
      </w:r>
      <w:proofErr w:type="spellStart"/>
      <w:r w:rsidRPr="008E3322">
        <w:rPr>
          <w:rFonts w:ascii="Calibri" w:eastAsia="Times New Roman" w:hAnsi="Calibri" w:cs="Times New Roman"/>
          <w:color w:val="222222"/>
          <w:lang w:val="en-US" w:eastAsia="es-PE"/>
        </w:rPr>
        <w:t>Bot</w:t>
      </w:r>
      <w:proofErr w:type="spellEnd"/>
      <w:r w:rsidRPr="008E3322">
        <w:rPr>
          <w:rFonts w:ascii="Calibri" w:eastAsia="Times New Roman" w:hAnsi="Calibri" w:cs="Times New Roman"/>
          <w:color w:val="222222"/>
          <w:lang w:val="en-US" w:eastAsia="es-PE"/>
        </w:rPr>
        <w:t xml:space="preserve"> (1982) 49(1): 39-49 </w:t>
      </w:r>
    </w:p>
    <w:p w:rsidR="008E3322" w:rsidRPr="008E3322" w:rsidRDefault="008E3322" w:rsidP="002D6AA2">
      <w:pPr>
        <w:pStyle w:val="Sinespaciado"/>
        <w:numPr>
          <w:ilvl w:val="0"/>
          <w:numId w:val="3"/>
        </w:numPr>
        <w:ind w:left="142" w:hanging="142"/>
        <w:jc w:val="both"/>
      </w:pPr>
      <w:r w:rsidRPr="008E3322">
        <w:rPr>
          <w:rFonts w:ascii="Calibri" w:eastAsia="Times New Roman" w:hAnsi="Calibri" w:cs="Times New Roman"/>
          <w:color w:val="000000"/>
          <w:lang w:val="es-PE" w:eastAsia="es-PE"/>
        </w:rPr>
        <w:t>OLIVARES</w:t>
      </w:r>
      <w:r w:rsidRPr="008E3322">
        <w:rPr>
          <w:rFonts w:ascii="Calibri" w:eastAsia="Times New Roman" w:hAnsi="Calibri" w:cs="Times New Roman"/>
          <w:color w:val="000000"/>
          <w:lang w:eastAsia="es-PE"/>
        </w:rPr>
        <w:t>, ELIZABETH, PENA, EDER AND AGUIAR, GUILLERMINA</w:t>
      </w:r>
      <w:r w:rsidRPr="008E3322">
        <w:rPr>
          <w:rFonts w:ascii="Calibri" w:eastAsia="Times New Roman" w:hAnsi="Calibri" w:cs="Times New Roman"/>
          <w:color w:val="000000"/>
          <w:lang w:val="es-PE" w:eastAsia="es-PE"/>
        </w:rPr>
        <w:t xml:space="preserve">. </w:t>
      </w:r>
      <w:r w:rsidRPr="008E3322">
        <w:rPr>
          <w:rFonts w:ascii="Calibri" w:eastAsia="Times New Roman" w:hAnsi="Calibri" w:cs="Times New Roman"/>
          <w:color w:val="000000"/>
          <w:lang w:eastAsia="es-PE"/>
        </w:rPr>
        <w:t xml:space="preserve">Nutrición mineral y estrés </w:t>
      </w:r>
      <w:proofErr w:type="spellStart"/>
      <w:r w:rsidRPr="008E3322">
        <w:rPr>
          <w:rFonts w:ascii="Calibri" w:eastAsia="Times New Roman" w:hAnsi="Calibri" w:cs="Times New Roman"/>
          <w:color w:val="000000"/>
          <w:lang w:eastAsia="es-PE"/>
        </w:rPr>
        <w:t>oxidativo</w:t>
      </w:r>
      <w:proofErr w:type="spellEnd"/>
      <w:r w:rsidRPr="008E3322">
        <w:rPr>
          <w:rFonts w:ascii="Calibri" w:eastAsia="Times New Roman" w:hAnsi="Calibri" w:cs="Times New Roman"/>
          <w:color w:val="000000"/>
          <w:lang w:eastAsia="es-PE"/>
        </w:rPr>
        <w:t xml:space="preserve"> por metales en espinaca y lechuga, en comparación con dos malezas asociadas, en cultivos </w:t>
      </w:r>
      <w:proofErr w:type="spellStart"/>
      <w:r w:rsidRPr="008E3322">
        <w:rPr>
          <w:rFonts w:ascii="Calibri" w:eastAsia="Times New Roman" w:hAnsi="Calibri" w:cs="Times New Roman"/>
          <w:color w:val="000000"/>
          <w:lang w:eastAsia="es-PE"/>
        </w:rPr>
        <w:t>semi</w:t>
      </w:r>
      <w:proofErr w:type="spellEnd"/>
      <w:r w:rsidRPr="008E3322">
        <w:rPr>
          <w:rFonts w:ascii="Calibri" w:eastAsia="Times New Roman" w:hAnsi="Calibri" w:cs="Times New Roman"/>
          <w:color w:val="000000"/>
          <w:lang w:eastAsia="es-PE"/>
        </w:rPr>
        <w:t>-urbanos</w:t>
      </w:r>
      <w:r w:rsidRPr="008E3322">
        <w:rPr>
          <w:rFonts w:ascii="Calibri" w:eastAsia="Times New Roman" w:hAnsi="Calibri" w:cs="Times New Roman"/>
          <w:color w:val="000000"/>
          <w:lang w:val="es-PE" w:eastAsia="es-PE"/>
        </w:rPr>
        <w:t>.</w:t>
      </w:r>
      <w:r w:rsidRPr="008E3322">
        <w:rPr>
          <w:rFonts w:ascii="Calibri" w:eastAsia="Times New Roman" w:hAnsi="Calibri" w:cs="Times New Roman"/>
          <w:i/>
          <w:iCs/>
          <w:color w:val="000000"/>
          <w:lang w:val="es-PE" w:eastAsia="es-PE"/>
        </w:rPr>
        <w:t xml:space="preserve"> INCI</w:t>
      </w:r>
      <w:r w:rsidRPr="008E3322">
        <w:rPr>
          <w:rFonts w:ascii="Calibri" w:eastAsia="Times New Roman" w:hAnsi="Calibri" w:cs="Times New Roman"/>
          <w:color w:val="000000"/>
          <w:lang w:val="es-PE" w:eastAsia="es-PE"/>
        </w:rPr>
        <w:t>, Sept. 2002, vol.27, no.9, p.454-464. ISSN 0378-1844.</w:t>
      </w:r>
    </w:p>
    <w:p w:rsidR="008E3322" w:rsidRDefault="008E3322" w:rsidP="002D6AA2">
      <w:pPr>
        <w:pStyle w:val="Sinespaciado"/>
        <w:numPr>
          <w:ilvl w:val="0"/>
          <w:numId w:val="3"/>
        </w:numPr>
        <w:ind w:left="142" w:hanging="142"/>
        <w:jc w:val="both"/>
        <w:rPr>
          <w:lang w:val="es-PE"/>
        </w:rPr>
      </w:pPr>
      <w:r w:rsidRPr="008E3322">
        <w:rPr>
          <w:lang w:val="en-US"/>
        </w:rPr>
        <w:t xml:space="preserve">SAUPE, STEPHEN G. Measuring Chlorophyll (&amp; </w:t>
      </w:r>
      <w:proofErr w:type="spellStart"/>
      <w:r w:rsidRPr="008E3322">
        <w:rPr>
          <w:lang w:val="en-US"/>
        </w:rPr>
        <w:t>Anthocyanin</w:t>
      </w:r>
      <w:proofErr w:type="spellEnd"/>
      <w:r w:rsidRPr="008E3322">
        <w:rPr>
          <w:lang w:val="en-US"/>
        </w:rPr>
        <w:t xml:space="preserve">) Concentration. </w:t>
      </w:r>
      <w:proofErr w:type="spellStart"/>
      <w:r w:rsidRPr="008E3322">
        <w:rPr>
          <w:lang w:val="es-PE"/>
        </w:rPr>
        <w:t>Plant</w:t>
      </w:r>
      <w:proofErr w:type="spellEnd"/>
      <w:r w:rsidRPr="008E3322">
        <w:rPr>
          <w:lang w:val="es-PE"/>
        </w:rPr>
        <w:t xml:space="preserve"> </w:t>
      </w:r>
      <w:proofErr w:type="spellStart"/>
      <w:r w:rsidRPr="008E3322">
        <w:rPr>
          <w:lang w:val="es-PE"/>
        </w:rPr>
        <w:t>physiology</w:t>
      </w:r>
      <w:proofErr w:type="spellEnd"/>
      <w:r w:rsidRPr="008E3322">
        <w:rPr>
          <w:lang w:val="es-PE"/>
        </w:rPr>
        <w:t xml:space="preserve"> (</w:t>
      </w:r>
      <w:proofErr w:type="spellStart"/>
      <w:r w:rsidRPr="008E3322">
        <w:rPr>
          <w:lang w:val="es-PE"/>
        </w:rPr>
        <w:t>Biology</w:t>
      </w:r>
      <w:proofErr w:type="spellEnd"/>
      <w:r w:rsidRPr="008E3322">
        <w:rPr>
          <w:lang w:val="es-PE"/>
        </w:rPr>
        <w:t xml:space="preserve"> 327). 2009</w:t>
      </w:r>
    </w:p>
    <w:p w:rsidR="00E13E5C" w:rsidRDefault="00E13E5C" w:rsidP="002D6AA2">
      <w:pPr>
        <w:pStyle w:val="Sinespaciado"/>
        <w:numPr>
          <w:ilvl w:val="0"/>
          <w:numId w:val="3"/>
        </w:numPr>
        <w:ind w:left="142" w:hanging="142"/>
        <w:jc w:val="both"/>
        <w:rPr>
          <w:lang w:val="es-PE"/>
        </w:rPr>
      </w:pPr>
      <w:r>
        <w:rPr>
          <w:lang w:val="es-PE"/>
        </w:rPr>
        <w:t xml:space="preserve">LLORENTE ISIDRO, MANUEL. Formaciones superficiales, Resumen del Manual de Edafología de P. H. </w:t>
      </w:r>
      <w:proofErr w:type="spellStart"/>
      <w:r>
        <w:rPr>
          <w:lang w:val="es-PE"/>
        </w:rPr>
        <w:t>Douchafur</w:t>
      </w:r>
      <w:proofErr w:type="spellEnd"/>
      <w:r>
        <w:rPr>
          <w:lang w:val="es-PE"/>
        </w:rPr>
        <w:t>, Geología. 2002</w:t>
      </w:r>
    </w:p>
    <w:p w:rsidR="00E13E5C" w:rsidRDefault="00E13E5C" w:rsidP="002D6AA2">
      <w:pPr>
        <w:pStyle w:val="Sinespaciado"/>
        <w:numPr>
          <w:ilvl w:val="0"/>
          <w:numId w:val="3"/>
        </w:numPr>
        <w:ind w:left="142" w:hanging="142"/>
        <w:jc w:val="both"/>
        <w:rPr>
          <w:lang w:val="es-PE"/>
        </w:rPr>
      </w:pPr>
      <w:r>
        <w:rPr>
          <w:lang w:val="es-PE"/>
        </w:rPr>
        <w:t>BERNIER V. RENÉ, ALFARO V. MARTA. Acidez de los suelos y efecto del encalado. Instituto de Investigaciones Agropecuarias de Chile. 2006</w:t>
      </w:r>
    </w:p>
    <w:p w:rsidR="00E13E5C" w:rsidRPr="00E13E5C" w:rsidRDefault="00E13E5C" w:rsidP="002D6AA2">
      <w:pPr>
        <w:pStyle w:val="Sinespaciado"/>
        <w:numPr>
          <w:ilvl w:val="0"/>
          <w:numId w:val="3"/>
        </w:numPr>
        <w:ind w:left="142" w:hanging="142"/>
        <w:jc w:val="both"/>
        <w:rPr>
          <w:color w:val="000000" w:themeColor="text1"/>
          <w:lang w:val="es-PE"/>
        </w:rPr>
      </w:pPr>
      <w:r w:rsidRPr="00E13E5C">
        <w:rPr>
          <w:rFonts w:cs="Times New Roman"/>
          <w:color w:val="000000" w:themeColor="text1"/>
          <w:lang w:val="es-PE"/>
        </w:rPr>
        <w:t xml:space="preserve">M. BASURTO SOTELO, A. NÚÑEZ BARRIOS, R. PÉREZ LEAL R. y O. A. HERNÁNDEZ RODRÍGUEZ. Fisiología del estrés </w:t>
      </w:r>
      <w:r w:rsidRPr="00E13E5C">
        <w:rPr>
          <w:rFonts w:cs="CompactaBlkBT"/>
          <w:color w:val="000000" w:themeColor="text1"/>
          <w:lang w:val="es-PE"/>
        </w:rPr>
        <w:t>ambiental en plantas</w:t>
      </w:r>
      <w:r>
        <w:rPr>
          <w:rFonts w:cs="CompactaBlkBT"/>
          <w:color w:val="000000" w:themeColor="text1"/>
          <w:lang w:val="es-PE"/>
        </w:rPr>
        <w:t>. Universidad Autónoma de Chihuahua. 2008.</w:t>
      </w:r>
    </w:p>
    <w:p w:rsidR="002E2E02" w:rsidRPr="002E2E02" w:rsidRDefault="00E13E5C" w:rsidP="002D6AA2">
      <w:pPr>
        <w:pStyle w:val="Sinespaciado"/>
        <w:numPr>
          <w:ilvl w:val="0"/>
          <w:numId w:val="3"/>
        </w:numPr>
        <w:ind w:left="142" w:hanging="142"/>
        <w:jc w:val="both"/>
        <w:rPr>
          <w:color w:val="000000" w:themeColor="text1"/>
          <w:lang w:val="es-PE"/>
        </w:rPr>
      </w:pPr>
      <w:r w:rsidRPr="00E13E5C">
        <w:rPr>
          <w:rFonts w:cs="Times New Roman"/>
          <w:lang w:val="es-PE"/>
        </w:rPr>
        <w:t>LALLANA, VÍCTOR H.; LALLANA MARÍA DEL C</w:t>
      </w:r>
      <w:r w:rsidRPr="002E2E02">
        <w:rPr>
          <w:rFonts w:cs="Times New Roman"/>
          <w:lang w:val="es-PE"/>
        </w:rPr>
        <w:t xml:space="preserve">. </w:t>
      </w:r>
      <w:r w:rsidRPr="00E13E5C">
        <w:rPr>
          <w:rFonts w:cs="Times New Roman"/>
          <w:lang w:val="es-PE"/>
        </w:rPr>
        <w:t>Manual de prácticas de fisiología vegetal.</w:t>
      </w:r>
      <w:r w:rsidRPr="002E2E02">
        <w:rPr>
          <w:rFonts w:cs="Times New Roman"/>
          <w:lang w:val="es-PE"/>
        </w:rPr>
        <w:t xml:space="preserve"> Facultad de Ciencias Agropecuarias – UNER. 2001</w:t>
      </w:r>
    </w:p>
    <w:p w:rsidR="00E13E5C" w:rsidRPr="002E2E02" w:rsidRDefault="00E13E5C" w:rsidP="002D6AA2">
      <w:pPr>
        <w:pStyle w:val="Sinespaciado"/>
        <w:numPr>
          <w:ilvl w:val="0"/>
          <w:numId w:val="3"/>
        </w:numPr>
        <w:ind w:left="142" w:hanging="142"/>
        <w:jc w:val="both"/>
        <w:rPr>
          <w:color w:val="000000" w:themeColor="text1"/>
          <w:lang w:val="es-PE"/>
        </w:rPr>
      </w:pPr>
      <w:r w:rsidRPr="002E2E02">
        <w:t xml:space="preserve"> ANTONIO J. MÁRQUEZ, MARCO BETTI, MARGARITA GARCÍA-CALDERÓN; ALFREDO CREDALI1, PEDRO DÍAZ</w:t>
      </w:r>
      <w:r w:rsidR="002E2E02">
        <w:t>,</w:t>
      </w:r>
      <w:r w:rsidRPr="002E2E02">
        <w:t xml:space="preserve"> JORGE MONZA. </w:t>
      </w:r>
      <w:r w:rsidRPr="002E2E02">
        <w:rPr>
          <w:bCs/>
        </w:rPr>
        <w:t xml:space="preserve">Asimilación primaria y secundaria de nitrógeno en </w:t>
      </w:r>
      <w:r w:rsidRPr="002E2E02">
        <w:rPr>
          <w:bCs/>
          <w:i/>
          <w:iCs/>
        </w:rPr>
        <w:t xml:space="preserve">Lotus </w:t>
      </w:r>
      <w:proofErr w:type="spellStart"/>
      <w:r w:rsidRPr="002E2E02">
        <w:rPr>
          <w:bCs/>
          <w:i/>
          <w:iCs/>
        </w:rPr>
        <w:t>japonicus</w:t>
      </w:r>
      <w:proofErr w:type="spellEnd"/>
      <w:r w:rsidRPr="002E2E02">
        <w:rPr>
          <w:bCs/>
          <w:i/>
          <w:iCs/>
        </w:rPr>
        <w:t xml:space="preserve"> </w:t>
      </w:r>
      <w:r w:rsidRPr="002E2E02">
        <w:rPr>
          <w:bCs/>
        </w:rPr>
        <w:t>e interrelación con el estrés hídrico</w:t>
      </w:r>
      <w:r w:rsidR="002E2E02" w:rsidRPr="002E2E02">
        <w:rPr>
          <w:bCs/>
        </w:rPr>
        <w:t xml:space="preserve">. </w:t>
      </w:r>
      <w:r w:rsidR="002E2E02" w:rsidRPr="002E2E02">
        <w:rPr>
          <w:i/>
          <w:iCs/>
        </w:rPr>
        <w:t xml:space="preserve">Lotus </w:t>
      </w:r>
      <w:proofErr w:type="spellStart"/>
      <w:r w:rsidR="002E2E02" w:rsidRPr="002E2E02">
        <w:t>Newsletter</w:t>
      </w:r>
      <w:proofErr w:type="spellEnd"/>
      <w:r w:rsidR="002E2E02" w:rsidRPr="002E2E02">
        <w:t xml:space="preserve"> (2007) </w:t>
      </w:r>
      <w:proofErr w:type="spellStart"/>
      <w:r w:rsidR="002E2E02" w:rsidRPr="002E2E02">
        <w:t>Volume</w:t>
      </w:r>
      <w:proofErr w:type="spellEnd"/>
      <w:r w:rsidR="002E2E02" w:rsidRPr="002E2E02">
        <w:t xml:space="preserve"> 37 (2), 71 – 73.</w:t>
      </w:r>
    </w:p>
    <w:p w:rsidR="002E2E02" w:rsidRPr="002E2E02" w:rsidRDefault="002E2E02" w:rsidP="002D6AA2">
      <w:pPr>
        <w:pStyle w:val="Sinespaciado"/>
        <w:numPr>
          <w:ilvl w:val="0"/>
          <w:numId w:val="3"/>
        </w:numPr>
        <w:autoSpaceDE w:val="0"/>
        <w:autoSpaceDN w:val="0"/>
        <w:adjustRightInd w:val="0"/>
        <w:ind w:left="142" w:hanging="142"/>
        <w:jc w:val="both"/>
        <w:rPr>
          <w:color w:val="000000" w:themeColor="text1"/>
          <w:sz w:val="16"/>
          <w:lang w:val="es-PE"/>
        </w:rPr>
      </w:pPr>
      <w:r w:rsidRPr="002E2E02">
        <w:rPr>
          <w:rFonts w:eastAsia="ArialNarrow" w:cs="ArialNarrow"/>
          <w:lang w:val="es-PE"/>
        </w:rPr>
        <w:t xml:space="preserve">P. DIAZ, O. BORSANI, S. SIGNORELLI Y J. MONZA. </w:t>
      </w:r>
      <w:r w:rsidRPr="002E2E02">
        <w:rPr>
          <w:rFonts w:cs="ArialNarrow,Bold"/>
          <w:bCs/>
          <w:lang w:val="es-PE"/>
        </w:rPr>
        <w:t>Metabolismo de nitrógeno en plantas. Sin fecha.</w:t>
      </w:r>
    </w:p>
    <w:p w:rsidR="002E2E02" w:rsidRPr="002E2E02" w:rsidRDefault="002E2E02" w:rsidP="002D6AA2">
      <w:pPr>
        <w:pStyle w:val="Sinespaciado"/>
        <w:numPr>
          <w:ilvl w:val="0"/>
          <w:numId w:val="3"/>
        </w:numPr>
        <w:autoSpaceDE w:val="0"/>
        <w:autoSpaceDN w:val="0"/>
        <w:adjustRightInd w:val="0"/>
        <w:ind w:left="142" w:hanging="142"/>
        <w:jc w:val="both"/>
        <w:rPr>
          <w:color w:val="000000" w:themeColor="text1"/>
          <w:lang w:val="es-PE"/>
        </w:rPr>
      </w:pPr>
      <w:r w:rsidRPr="002E2E02">
        <w:rPr>
          <w:color w:val="000000" w:themeColor="text1"/>
          <w:lang w:val="es-PE"/>
        </w:rPr>
        <w:t xml:space="preserve">MORA, JULIO. </w:t>
      </w:r>
      <w:r w:rsidRPr="002E2E02">
        <w:rPr>
          <w:rFonts w:cs="Arial"/>
          <w:bCs/>
          <w:szCs w:val="30"/>
          <w:lang w:val="es-PE"/>
        </w:rPr>
        <w:t>Prueba exploratoria: Lechuga (</w:t>
      </w:r>
      <w:r w:rsidRPr="002E2E02">
        <w:rPr>
          <w:rFonts w:cs="Arial"/>
          <w:bCs/>
          <w:i/>
          <w:iCs/>
          <w:szCs w:val="30"/>
          <w:lang w:val="es-PE"/>
        </w:rPr>
        <w:t>Lactuca sativa</w:t>
      </w:r>
      <w:r w:rsidRPr="002E2E02">
        <w:rPr>
          <w:rFonts w:cs="Arial"/>
          <w:bCs/>
          <w:szCs w:val="30"/>
          <w:lang w:val="es-PE"/>
        </w:rPr>
        <w:t xml:space="preserve">) en </w:t>
      </w:r>
      <w:proofErr w:type="spellStart"/>
      <w:r w:rsidRPr="002E2E02">
        <w:rPr>
          <w:rFonts w:cs="Arial"/>
          <w:bCs/>
          <w:szCs w:val="30"/>
          <w:lang w:val="es-PE"/>
        </w:rPr>
        <w:t>hidroponia</w:t>
      </w:r>
      <w:proofErr w:type="spellEnd"/>
      <w:r w:rsidRPr="002E2E02">
        <w:rPr>
          <w:rFonts w:cs="Arial"/>
          <w:bCs/>
          <w:szCs w:val="30"/>
          <w:lang w:val="es-PE"/>
        </w:rPr>
        <w:t>. Río Gallegos, Santa Cruz. 2008.</w:t>
      </w:r>
    </w:p>
    <w:p w:rsidR="002E2E02" w:rsidRPr="003B55A9" w:rsidRDefault="002E2E02" w:rsidP="002D6AA2">
      <w:pPr>
        <w:pStyle w:val="Sinespaciado"/>
        <w:numPr>
          <w:ilvl w:val="0"/>
          <w:numId w:val="3"/>
        </w:numPr>
        <w:autoSpaceDE w:val="0"/>
        <w:autoSpaceDN w:val="0"/>
        <w:adjustRightInd w:val="0"/>
        <w:ind w:left="142" w:hanging="142"/>
        <w:jc w:val="both"/>
        <w:rPr>
          <w:color w:val="000000" w:themeColor="text1"/>
          <w:lang w:val="es-PE"/>
        </w:rPr>
      </w:pPr>
      <w:r w:rsidRPr="002E2E02">
        <w:rPr>
          <w:rFonts w:cs="TTFF1o00"/>
          <w:lang w:val="en-US"/>
        </w:rPr>
        <w:t xml:space="preserve">BUREAU INTERNATIONAL DES POIDS ET MEASURES. </w:t>
      </w:r>
      <w:r w:rsidRPr="002E2E02">
        <w:rPr>
          <w:rFonts w:cs="TTFF2o00"/>
          <w:lang w:val="es-PE"/>
        </w:rPr>
        <w:t xml:space="preserve">Le </w:t>
      </w:r>
      <w:proofErr w:type="spellStart"/>
      <w:r w:rsidRPr="002E2E02">
        <w:rPr>
          <w:rFonts w:cs="TTFF2o00"/>
          <w:lang w:val="es-PE"/>
        </w:rPr>
        <w:t>Système</w:t>
      </w:r>
      <w:proofErr w:type="spellEnd"/>
      <w:r w:rsidRPr="002E2E02">
        <w:rPr>
          <w:rFonts w:cs="TTFF2o00"/>
          <w:lang w:val="es-PE"/>
        </w:rPr>
        <w:t xml:space="preserve"> </w:t>
      </w:r>
      <w:proofErr w:type="spellStart"/>
      <w:r w:rsidRPr="002E2E02">
        <w:rPr>
          <w:rFonts w:cs="TTFF2o00"/>
          <w:lang w:val="es-PE"/>
        </w:rPr>
        <w:t>international</w:t>
      </w:r>
      <w:proofErr w:type="spellEnd"/>
      <w:r w:rsidRPr="002E2E02">
        <w:rPr>
          <w:rFonts w:cs="TTFF2o00"/>
          <w:lang w:val="es-PE"/>
        </w:rPr>
        <w:t xml:space="preserve"> </w:t>
      </w:r>
      <w:proofErr w:type="spellStart"/>
      <w:r w:rsidRPr="002E2E02">
        <w:rPr>
          <w:rFonts w:cs="TTFF2o00"/>
          <w:lang w:val="es-PE"/>
        </w:rPr>
        <w:t>d’unités</w:t>
      </w:r>
      <w:proofErr w:type="spellEnd"/>
      <w:r w:rsidRPr="002E2E02">
        <w:rPr>
          <w:rFonts w:cs="TTFF2o00"/>
          <w:lang w:val="es-PE"/>
        </w:rPr>
        <w:t xml:space="preserve"> (SI). </w:t>
      </w:r>
      <w:proofErr w:type="spellStart"/>
      <w:r w:rsidRPr="002E2E02">
        <w:rPr>
          <w:rFonts w:cs="TTFF2o00"/>
          <w:lang w:val="es-PE"/>
        </w:rPr>
        <w:t>O</w:t>
      </w:r>
      <w:r w:rsidRPr="002E2E02">
        <w:rPr>
          <w:rFonts w:cs="TTFF0o00"/>
          <w:lang w:val="es-PE"/>
        </w:rPr>
        <w:t>rganisation</w:t>
      </w:r>
      <w:proofErr w:type="spellEnd"/>
      <w:r w:rsidRPr="002E2E02">
        <w:rPr>
          <w:rFonts w:cs="TTFF0o00"/>
          <w:lang w:val="es-PE"/>
        </w:rPr>
        <w:t xml:space="preserve"> </w:t>
      </w:r>
      <w:proofErr w:type="spellStart"/>
      <w:r w:rsidRPr="002E2E02">
        <w:rPr>
          <w:rFonts w:cs="TTFF0o00"/>
          <w:lang w:val="es-PE"/>
        </w:rPr>
        <w:t>intergouvernementale</w:t>
      </w:r>
      <w:proofErr w:type="spellEnd"/>
      <w:r w:rsidRPr="002E2E02">
        <w:rPr>
          <w:rFonts w:cs="TTFF0o00"/>
          <w:lang w:val="es-PE"/>
        </w:rPr>
        <w:t xml:space="preserve"> de la </w:t>
      </w:r>
      <w:proofErr w:type="spellStart"/>
      <w:r w:rsidRPr="002E2E02">
        <w:rPr>
          <w:rFonts w:cs="TTFF0o00"/>
          <w:lang w:val="es-PE"/>
        </w:rPr>
        <w:t>Convention</w:t>
      </w:r>
      <w:proofErr w:type="spellEnd"/>
      <w:r w:rsidRPr="002E2E02">
        <w:rPr>
          <w:rFonts w:cs="TTFF0o00"/>
          <w:lang w:val="es-PE"/>
        </w:rPr>
        <w:t xml:space="preserve"> du </w:t>
      </w:r>
      <w:proofErr w:type="spellStart"/>
      <w:r w:rsidRPr="002E2E02">
        <w:rPr>
          <w:rFonts w:cs="TTFF0o00"/>
          <w:lang w:val="es-PE"/>
        </w:rPr>
        <w:t>Mètre</w:t>
      </w:r>
      <w:proofErr w:type="spellEnd"/>
      <w:r w:rsidRPr="002E2E02">
        <w:rPr>
          <w:rFonts w:cs="TTFF0o00"/>
          <w:lang w:val="es-PE"/>
        </w:rPr>
        <w:t>. 8</w:t>
      </w:r>
      <w:r w:rsidRPr="002E2E02">
        <w:rPr>
          <w:rFonts w:cs="TTFF3o00"/>
          <w:i/>
          <w:iCs/>
          <w:lang w:val="es-PE"/>
        </w:rPr>
        <w:t xml:space="preserve">e </w:t>
      </w:r>
      <w:proofErr w:type="spellStart"/>
      <w:r w:rsidRPr="002E2E02">
        <w:rPr>
          <w:rFonts w:cs="TTFF0o00"/>
          <w:lang w:val="es-PE"/>
        </w:rPr>
        <w:t>édition</w:t>
      </w:r>
      <w:proofErr w:type="spellEnd"/>
      <w:r w:rsidRPr="002E2E02">
        <w:rPr>
          <w:rFonts w:cs="TTFF0o00"/>
          <w:lang w:val="es-PE"/>
        </w:rPr>
        <w:t xml:space="preserve"> 2006.</w:t>
      </w:r>
    </w:p>
    <w:p w:rsidR="003B55A9" w:rsidRPr="003B55A9" w:rsidRDefault="003B55A9" w:rsidP="002D6AA2">
      <w:pPr>
        <w:pStyle w:val="Sinespaciado"/>
        <w:numPr>
          <w:ilvl w:val="0"/>
          <w:numId w:val="3"/>
        </w:numPr>
        <w:autoSpaceDE w:val="0"/>
        <w:autoSpaceDN w:val="0"/>
        <w:adjustRightInd w:val="0"/>
        <w:ind w:left="142" w:hanging="142"/>
        <w:jc w:val="both"/>
        <w:rPr>
          <w:color w:val="000000" w:themeColor="text1"/>
          <w:lang w:val="es-PE"/>
        </w:rPr>
      </w:pPr>
      <w:r w:rsidRPr="003B55A9">
        <w:rPr>
          <w:rFonts w:cs="TTFF1o00"/>
          <w:lang w:val="es-PE"/>
        </w:rPr>
        <w:t xml:space="preserve">BERRÍOS UGARTE, MARIO ESTEBAN; ARREDONDO BELMAR, CARLOS; </w:t>
      </w:r>
      <w:r>
        <w:rPr>
          <w:rFonts w:cs="TTFF1o00"/>
          <w:lang w:val="es-PE"/>
        </w:rPr>
        <w:t>TJALLIN HOLWERDA, HARMEN. Guía de Manejo de Nutrición Vegetal de Especialidad – Pimiento. SQM, 2007.</w:t>
      </w:r>
    </w:p>
    <w:p w:rsidR="003B55A9" w:rsidRPr="002D6AA2" w:rsidRDefault="002D6AA2" w:rsidP="002D6AA2">
      <w:pPr>
        <w:pStyle w:val="Sinespaciado"/>
        <w:numPr>
          <w:ilvl w:val="0"/>
          <w:numId w:val="3"/>
        </w:numPr>
        <w:autoSpaceDE w:val="0"/>
        <w:autoSpaceDN w:val="0"/>
        <w:adjustRightInd w:val="0"/>
        <w:ind w:left="142" w:hanging="142"/>
        <w:jc w:val="both"/>
        <w:rPr>
          <w:color w:val="000000" w:themeColor="text1"/>
          <w:lang w:val="es-PE"/>
        </w:rPr>
      </w:pPr>
      <w:r>
        <w:t xml:space="preserve">SUÁREZ </w:t>
      </w:r>
      <w:proofErr w:type="gramStart"/>
      <w:r>
        <w:t>ALONSO ,</w:t>
      </w:r>
      <w:proofErr w:type="gramEnd"/>
      <w:r w:rsidRPr="003B55A9">
        <w:t xml:space="preserve"> </w:t>
      </w:r>
      <w:r>
        <w:t>MARÍA LUISA,</w:t>
      </w:r>
      <w:r w:rsidRPr="002D6AA2">
        <w:t xml:space="preserve"> </w:t>
      </w:r>
      <w:r>
        <w:t xml:space="preserve">VIDAL-ABARCA GUTIÉRREZ, MARÍA ROSARIO; GÓMEZ CEREZO, ROSA </w:t>
      </w:r>
      <w:r w:rsidR="003B55A9" w:rsidRPr="003B55A9">
        <w:rPr>
          <w:rFonts w:cs="Arial"/>
          <w:bCs/>
          <w:color w:val="000000" w:themeColor="text1"/>
          <w:lang w:val="es-PE"/>
        </w:rPr>
        <w:t>Lección 5</w:t>
      </w:r>
      <w:r w:rsidR="003B55A9" w:rsidRPr="003B55A9">
        <w:rPr>
          <w:rFonts w:cs="Arial"/>
          <w:color w:val="000000" w:themeColor="text1"/>
          <w:lang w:val="es-PE"/>
        </w:rPr>
        <w:t xml:space="preserve">. </w:t>
      </w:r>
      <w:r w:rsidR="003B55A9" w:rsidRPr="003B55A9">
        <w:rPr>
          <w:rFonts w:cs="Arial"/>
          <w:bCs/>
          <w:color w:val="000000" w:themeColor="text1"/>
          <w:lang w:val="es-PE"/>
        </w:rPr>
        <w:t>Los nutrientes: nitrógeno y fósforo</w:t>
      </w:r>
      <w:r w:rsidR="003B55A9">
        <w:rPr>
          <w:rFonts w:cs="Arial"/>
          <w:bCs/>
          <w:color w:val="000000" w:themeColor="text1"/>
          <w:lang w:val="es-PE"/>
        </w:rPr>
        <w:t>. Universidad de Murcia. 2008.</w:t>
      </w:r>
    </w:p>
    <w:p w:rsidR="002D6AA2" w:rsidRPr="003B55A9" w:rsidRDefault="00D60AD6" w:rsidP="00D60AD6">
      <w:pPr>
        <w:pStyle w:val="Sinespaciado"/>
        <w:autoSpaceDE w:val="0"/>
        <w:autoSpaceDN w:val="0"/>
        <w:adjustRightInd w:val="0"/>
        <w:jc w:val="center"/>
        <w:rPr>
          <w:color w:val="000000" w:themeColor="text1"/>
          <w:lang w:val="es-PE"/>
        </w:rPr>
      </w:pPr>
      <w:r>
        <w:rPr>
          <w:color w:val="000000" w:themeColor="text1"/>
          <w:lang w:val="es-PE"/>
        </w:rPr>
        <w:br w:type="column"/>
      </w:r>
      <w:r w:rsidRPr="00D60AD6">
        <w:rPr>
          <w:noProof/>
          <w:color w:val="000000" w:themeColor="text1"/>
          <w:lang w:val="es-PE"/>
        </w:rPr>
        <w:lastRenderedPageBreak/>
        <w:pict>
          <v:rect id="_x0000_s1033" style="position:absolute;left:0;text-align:left;margin-left:1017.25pt;margin-top:0;width:208.3pt;height:700.15pt;flip:x;z-index:251668480;mso-width-percent:350;mso-height-percent:1000;mso-wrap-distance-top:7.2pt;mso-wrap-distance-bottom:7.2pt;mso-position-horizontal:outside;mso-position-horizontal-relative:page;mso-position-vertical:center;mso-position-vertical-relative:page;mso-width-percent:350;mso-height-percent:1000;mso-height-relative:margin" o:allowincell="f" fillcolor="#4f81bd [3204]" stroked="f" strokecolor="black [3213]" strokeweight="1.5pt">
            <v:shadow color="#f79646 [3209]" opacity=".5" offset="-15pt,0" offset2="-18pt,12pt"/>
            <v:textbox style="mso-next-textbox:#_x0000_s1033" inset="21.6pt,21.6pt,21.6pt,21.6pt">
              <w:txbxContent>
                <w:p w:rsidR="00D60AD6" w:rsidRDefault="00D60AD6" w:rsidP="00D60AD6">
                  <w:pPr>
                    <w:rPr>
                      <w:color w:val="FFFFFF" w:themeColor="background1"/>
                      <w:sz w:val="18"/>
                      <w:szCs w:val="18"/>
                    </w:rPr>
                  </w:pPr>
                  <w:r w:rsidRPr="00D60AD6">
                    <w:rPr>
                      <w:color w:val="000000" w:themeColor="text1"/>
                      <w:sz w:val="48"/>
                      <w:lang w:val="es-PE"/>
                    </w:rPr>
                    <w:t>ANEXOS</w:t>
                  </w:r>
                </w:p>
              </w:txbxContent>
            </v:textbox>
            <w10:wrap type="square" anchorx="page" anchory="page"/>
          </v:rect>
        </w:pict>
      </w:r>
    </w:p>
    <w:sectPr w:rsidR="002D6AA2" w:rsidRPr="003B55A9" w:rsidSect="007A47BD">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AD1" w:rsidRDefault="00994AD1" w:rsidP="000D3C86">
      <w:pPr>
        <w:spacing w:after="0" w:line="240" w:lineRule="auto"/>
      </w:pPr>
      <w:r>
        <w:separator/>
      </w:r>
    </w:p>
  </w:endnote>
  <w:endnote w:type="continuationSeparator" w:id="0">
    <w:p w:rsidR="00994AD1" w:rsidRDefault="00994AD1" w:rsidP="000D3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ArialNarrow,Italic">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ompactaBlkBT">
    <w:panose1 w:val="00000000000000000000"/>
    <w:charset w:val="00"/>
    <w:family w:val="swiss"/>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TTFF1o00">
    <w:panose1 w:val="00000000000000000000"/>
    <w:charset w:val="00"/>
    <w:family w:val="swiss"/>
    <w:notTrueType/>
    <w:pitch w:val="default"/>
    <w:sig w:usb0="00000003" w:usb1="00000000" w:usb2="00000000" w:usb3="00000000" w:csb0="00000001" w:csb1="00000000"/>
  </w:font>
  <w:font w:name="TTFF2o00">
    <w:panose1 w:val="00000000000000000000"/>
    <w:charset w:val="00"/>
    <w:family w:val="swiss"/>
    <w:notTrueType/>
    <w:pitch w:val="default"/>
    <w:sig w:usb0="00000003" w:usb1="00000000" w:usb2="00000000" w:usb3="00000000" w:csb0="00000001" w:csb1="00000000"/>
  </w:font>
  <w:font w:name="TTFF0o00">
    <w:panose1 w:val="00000000000000000000"/>
    <w:charset w:val="00"/>
    <w:family w:val="swiss"/>
    <w:notTrueType/>
    <w:pitch w:val="default"/>
    <w:sig w:usb0="00000003" w:usb1="00000000" w:usb2="00000000" w:usb3="00000000" w:csb0="00000001" w:csb1="00000000"/>
  </w:font>
  <w:font w:name="TTFF3o00">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AD1" w:rsidRDefault="00994AD1" w:rsidP="000D3C86">
      <w:pPr>
        <w:spacing w:after="0" w:line="240" w:lineRule="auto"/>
      </w:pPr>
      <w:r>
        <w:separator/>
      </w:r>
    </w:p>
  </w:footnote>
  <w:footnote w:type="continuationSeparator" w:id="0">
    <w:p w:rsidR="00994AD1" w:rsidRDefault="00994AD1" w:rsidP="000D3C86">
      <w:pPr>
        <w:spacing w:after="0" w:line="240" w:lineRule="auto"/>
      </w:pPr>
      <w:r>
        <w:continuationSeparator/>
      </w:r>
    </w:p>
  </w:footnote>
  <w:footnote w:id="1">
    <w:p w:rsidR="003C71AD" w:rsidRPr="000D3C86" w:rsidRDefault="003C71AD" w:rsidP="000B2895">
      <w:pPr>
        <w:pStyle w:val="Piedepgina"/>
        <w:jc w:val="both"/>
        <w:rPr>
          <w:sz w:val="18"/>
          <w:lang w:val="es-PE"/>
        </w:rPr>
      </w:pPr>
      <w:r w:rsidRPr="002A2FDB">
        <w:rPr>
          <w:rStyle w:val="Refdenotaalpie"/>
          <w:color w:val="FF0000"/>
        </w:rPr>
        <w:footnoteRef/>
      </w:r>
      <w:r>
        <w:t xml:space="preserve"> </w:t>
      </w:r>
      <w:r>
        <w:rPr>
          <w:sz w:val="18"/>
          <w:lang w:val="es-PE"/>
        </w:rPr>
        <w:t>K</w:t>
      </w:r>
      <w:r w:rsidRPr="000D3C86">
        <w:rPr>
          <w:sz w:val="18"/>
          <w:vertAlign w:val="subscript"/>
          <w:lang w:val="es-PE"/>
        </w:rPr>
        <w:t>m</w:t>
      </w:r>
      <w:r>
        <w:rPr>
          <w:sz w:val="18"/>
          <w:lang w:val="es-PE"/>
        </w:rPr>
        <w:t xml:space="preserve"> es la Constante de </w:t>
      </w:r>
      <w:proofErr w:type="spellStart"/>
      <w:r>
        <w:rPr>
          <w:sz w:val="18"/>
          <w:lang w:val="es-PE"/>
        </w:rPr>
        <w:t>Michaelis</w:t>
      </w:r>
      <w:proofErr w:type="spellEnd"/>
      <w:r>
        <w:rPr>
          <w:sz w:val="18"/>
          <w:lang w:val="es-PE"/>
        </w:rPr>
        <w:t>, aquella que indica la concentración de sustrato necesaria para que una concentración fija de la enzima a estudiar alcance la mitad de la velocidad máxima. Cuanto más bajo el K</w:t>
      </w:r>
      <w:r w:rsidRPr="000D3C86">
        <w:rPr>
          <w:sz w:val="18"/>
          <w:vertAlign w:val="subscript"/>
          <w:lang w:val="es-PE"/>
        </w:rPr>
        <w:t>m</w:t>
      </w:r>
      <w:r>
        <w:rPr>
          <w:sz w:val="18"/>
          <w:lang w:val="es-PE"/>
        </w:rPr>
        <w:t>, mayor es la afinidad por el sustrato, ya que la enzima se satura rápidamente con él. Del mismo modo, un K</w:t>
      </w:r>
      <w:r w:rsidRPr="000B2895">
        <w:rPr>
          <w:sz w:val="18"/>
          <w:vertAlign w:val="subscript"/>
          <w:lang w:val="es-PE"/>
        </w:rPr>
        <w:t>m</w:t>
      </w:r>
      <w:r>
        <w:rPr>
          <w:sz w:val="18"/>
          <w:lang w:val="es-PE"/>
        </w:rPr>
        <w:t xml:space="preserve"> alto, indica que la afinidad es baja, ya que se requieren grandes concentraciones del sustrato para activar la enzima.</w:t>
      </w:r>
    </w:p>
    <w:p w:rsidR="003C71AD" w:rsidRPr="000B2895" w:rsidRDefault="003C71AD">
      <w:pPr>
        <w:pStyle w:val="Textonotapie"/>
        <w:rPr>
          <w:lang w:val="es-P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87822"/>
    <w:multiLevelType w:val="hybridMultilevel"/>
    <w:tmpl w:val="FB188D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184C616A"/>
    <w:multiLevelType w:val="hybridMultilevel"/>
    <w:tmpl w:val="E79046C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72BF6C5B"/>
    <w:multiLevelType w:val="hybridMultilevel"/>
    <w:tmpl w:val="52C0FA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F4683"/>
    <w:rsid w:val="00005B68"/>
    <w:rsid w:val="0001307E"/>
    <w:rsid w:val="0001451C"/>
    <w:rsid w:val="000233B1"/>
    <w:rsid w:val="00031F01"/>
    <w:rsid w:val="0004015B"/>
    <w:rsid w:val="00044E38"/>
    <w:rsid w:val="000B2895"/>
    <w:rsid w:val="000D3C86"/>
    <w:rsid w:val="0012621C"/>
    <w:rsid w:val="00140775"/>
    <w:rsid w:val="00172161"/>
    <w:rsid w:val="00173A62"/>
    <w:rsid w:val="00184399"/>
    <w:rsid w:val="001A63EB"/>
    <w:rsid w:val="001C301D"/>
    <w:rsid w:val="00207FCF"/>
    <w:rsid w:val="00267C91"/>
    <w:rsid w:val="00275BA6"/>
    <w:rsid w:val="002A2FDB"/>
    <w:rsid w:val="002D6AA2"/>
    <w:rsid w:val="002D6B29"/>
    <w:rsid w:val="002E2E02"/>
    <w:rsid w:val="00311FA7"/>
    <w:rsid w:val="00315158"/>
    <w:rsid w:val="00320FC3"/>
    <w:rsid w:val="00352025"/>
    <w:rsid w:val="0038049A"/>
    <w:rsid w:val="003A0D04"/>
    <w:rsid w:val="003B55A9"/>
    <w:rsid w:val="003C71AD"/>
    <w:rsid w:val="003D5675"/>
    <w:rsid w:val="003F2596"/>
    <w:rsid w:val="00416DDA"/>
    <w:rsid w:val="00421788"/>
    <w:rsid w:val="0047717D"/>
    <w:rsid w:val="00484200"/>
    <w:rsid w:val="00486D6F"/>
    <w:rsid w:val="004970A8"/>
    <w:rsid w:val="004B25B2"/>
    <w:rsid w:val="004C0172"/>
    <w:rsid w:val="004C4069"/>
    <w:rsid w:val="004E513A"/>
    <w:rsid w:val="00513618"/>
    <w:rsid w:val="00516373"/>
    <w:rsid w:val="00517A6A"/>
    <w:rsid w:val="005203AC"/>
    <w:rsid w:val="005543CA"/>
    <w:rsid w:val="005654C0"/>
    <w:rsid w:val="005764B9"/>
    <w:rsid w:val="005A0279"/>
    <w:rsid w:val="005B6C21"/>
    <w:rsid w:val="005B6D42"/>
    <w:rsid w:val="005B6E9D"/>
    <w:rsid w:val="005E2F02"/>
    <w:rsid w:val="005E6C04"/>
    <w:rsid w:val="005F6FF7"/>
    <w:rsid w:val="00605A93"/>
    <w:rsid w:val="00611866"/>
    <w:rsid w:val="006160B4"/>
    <w:rsid w:val="006A3018"/>
    <w:rsid w:val="006B4A5D"/>
    <w:rsid w:val="006D179C"/>
    <w:rsid w:val="007240F5"/>
    <w:rsid w:val="00760B34"/>
    <w:rsid w:val="00767558"/>
    <w:rsid w:val="00791054"/>
    <w:rsid w:val="0079313B"/>
    <w:rsid w:val="007A47BD"/>
    <w:rsid w:val="007B08B8"/>
    <w:rsid w:val="007C559C"/>
    <w:rsid w:val="00836ACC"/>
    <w:rsid w:val="00860814"/>
    <w:rsid w:val="00880813"/>
    <w:rsid w:val="008A0F7B"/>
    <w:rsid w:val="008C3859"/>
    <w:rsid w:val="008D2BCF"/>
    <w:rsid w:val="008E3322"/>
    <w:rsid w:val="008F448A"/>
    <w:rsid w:val="0092247A"/>
    <w:rsid w:val="00944E1E"/>
    <w:rsid w:val="00957D52"/>
    <w:rsid w:val="00962627"/>
    <w:rsid w:val="00982744"/>
    <w:rsid w:val="009827DC"/>
    <w:rsid w:val="009861C8"/>
    <w:rsid w:val="00994AD1"/>
    <w:rsid w:val="009D127F"/>
    <w:rsid w:val="009D697C"/>
    <w:rsid w:val="009F4683"/>
    <w:rsid w:val="009F76E2"/>
    <w:rsid w:val="00A00215"/>
    <w:rsid w:val="00A11553"/>
    <w:rsid w:val="00A17B3B"/>
    <w:rsid w:val="00A637E9"/>
    <w:rsid w:val="00A673C5"/>
    <w:rsid w:val="00A70A69"/>
    <w:rsid w:val="00A747F6"/>
    <w:rsid w:val="00AC03F6"/>
    <w:rsid w:val="00B606B8"/>
    <w:rsid w:val="00B95467"/>
    <w:rsid w:val="00C14152"/>
    <w:rsid w:val="00C41661"/>
    <w:rsid w:val="00C57F8B"/>
    <w:rsid w:val="00C61464"/>
    <w:rsid w:val="00C7634D"/>
    <w:rsid w:val="00C764CF"/>
    <w:rsid w:val="00C978BF"/>
    <w:rsid w:val="00CC002A"/>
    <w:rsid w:val="00D06ED9"/>
    <w:rsid w:val="00D23373"/>
    <w:rsid w:val="00D35DEA"/>
    <w:rsid w:val="00D566BE"/>
    <w:rsid w:val="00D60AD6"/>
    <w:rsid w:val="00D73648"/>
    <w:rsid w:val="00D81A3E"/>
    <w:rsid w:val="00D85C7B"/>
    <w:rsid w:val="00DB1ECE"/>
    <w:rsid w:val="00DC2FED"/>
    <w:rsid w:val="00DE3F04"/>
    <w:rsid w:val="00DF12D8"/>
    <w:rsid w:val="00E13E5C"/>
    <w:rsid w:val="00E278C6"/>
    <w:rsid w:val="00E32E52"/>
    <w:rsid w:val="00E469B0"/>
    <w:rsid w:val="00E67C38"/>
    <w:rsid w:val="00EB1862"/>
    <w:rsid w:val="00EF6069"/>
    <w:rsid w:val="00F059F1"/>
    <w:rsid w:val="00F14664"/>
    <w:rsid w:val="00F14982"/>
    <w:rsid w:val="00F22575"/>
    <w:rsid w:val="00F22AD3"/>
    <w:rsid w:val="00F56EA4"/>
    <w:rsid w:val="00F81537"/>
    <w:rsid w:val="00F9566C"/>
    <w:rsid w:val="00FB1345"/>
    <w:rsid w:val="00FB4824"/>
    <w:rsid w:val="00FC3344"/>
    <w:rsid w:val="00FD23D3"/>
    <w:rsid w:val="00FD74CC"/>
    <w:rsid w:val="00FE485E"/>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273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7B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804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049A"/>
    <w:rPr>
      <w:rFonts w:ascii="Tahoma" w:hAnsi="Tahoma" w:cs="Tahoma"/>
      <w:sz w:val="16"/>
      <w:szCs w:val="16"/>
    </w:rPr>
  </w:style>
  <w:style w:type="paragraph" w:styleId="Epgrafe">
    <w:name w:val="caption"/>
    <w:basedOn w:val="Normal"/>
    <w:next w:val="Normal"/>
    <w:uiPriority w:val="35"/>
    <w:semiHidden/>
    <w:unhideWhenUsed/>
    <w:qFormat/>
    <w:rsid w:val="00513618"/>
    <w:pPr>
      <w:spacing w:line="240" w:lineRule="auto"/>
    </w:pPr>
    <w:rPr>
      <w:b/>
      <w:bCs/>
      <w:color w:val="4F81BD" w:themeColor="accent1"/>
      <w:sz w:val="18"/>
      <w:szCs w:val="18"/>
    </w:rPr>
  </w:style>
  <w:style w:type="paragraph" w:styleId="Prrafodelista">
    <w:name w:val="List Paragraph"/>
    <w:basedOn w:val="Normal"/>
    <w:uiPriority w:val="34"/>
    <w:qFormat/>
    <w:rsid w:val="004E513A"/>
    <w:pPr>
      <w:ind w:left="720"/>
      <w:contextualSpacing/>
    </w:pPr>
    <w:rPr>
      <w:lang w:val="es-PE"/>
    </w:rPr>
  </w:style>
  <w:style w:type="paragraph" w:customStyle="1" w:styleId="Default">
    <w:name w:val="Default"/>
    <w:rsid w:val="008C3859"/>
    <w:pPr>
      <w:autoSpaceDE w:val="0"/>
      <w:autoSpaceDN w:val="0"/>
      <w:adjustRightInd w:val="0"/>
      <w:spacing w:after="0" w:line="240" w:lineRule="auto"/>
    </w:pPr>
    <w:rPr>
      <w:rFonts w:ascii="Times New Roman" w:hAnsi="Times New Roman" w:cs="Times New Roman"/>
      <w:color w:val="000000"/>
      <w:sz w:val="24"/>
      <w:szCs w:val="24"/>
      <w:lang w:val="es-PE"/>
    </w:rPr>
  </w:style>
  <w:style w:type="paragraph" w:styleId="Encabezado">
    <w:name w:val="header"/>
    <w:basedOn w:val="Normal"/>
    <w:link w:val="EncabezadoCar"/>
    <w:uiPriority w:val="99"/>
    <w:semiHidden/>
    <w:unhideWhenUsed/>
    <w:rsid w:val="000D3C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D3C86"/>
  </w:style>
  <w:style w:type="paragraph" w:styleId="Piedepgina">
    <w:name w:val="footer"/>
    <w:basedOn w:val="Normal"/>
    <w:link w:val="PiedepginaCar"/>
    <w:uiPriority w:val="99"/>
    <w:semiHidden/>
    <w:unhideWhenUsed/>
    <w:rsid w:val="000D3C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D3C86"/>
  </w:style>
  <w:style w:type="paragraph" w:styleId="Textonotapie">
    <w:name w:val="footnote text"/>
    <w:basedOn w:val="Normal"/>
    <w:link w:val="TextonotapieCar"/>
    <w:uiPriority w:val="99"/>
    <w:semiHidden/>
    <w:unhideWhenUsed/>
    <w:rsid w:val="000B289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B2895"/>
    <w:rPr>
      <w:sz w:val="20"/>
      <w:szCs w:val="20"/>
    </w:rPr>
  </w:style>
  <w:style w:type="character" w:styleId="Refdenotaalpie">
    <w:name w:val="footnote reference"/>
    <w:basedOn w:val="Fuentedeprrafopredeter"/>
    <w:uiPriority w:val="99"/>
    <w:semiHidden/>
    <w:unhideWhenUsed/>
    <w:rsid w:val="000B2895"/>
    <w:rPr>
      <w:vertAlign w:val="superscript"/>
    </w:rPr>
  </w:style>
  <w:style w:type="paragraph" w:styleId="Sinespaciado">
    <w:name w:val="No Spacing"/>
    <w:uiPriority w:val="1"/>
    <w:qFormat/>
    <w:rsid w:val="003F2596"/>
    <w:pPr>
      <w:spacing w:after="0" w:line="240" w:lineRule="auto"/>
    </w:pPr>
  </w:style>
</w:styles>
</file>

<file path=word/webSettings.xml><?xml version="1.0" encoding="utf-8"?>
<w:webSettings xmlns:r="http://schemas.openxmlformats.org/officeDocument/2006/relationships" xmlns:w="http://schemas.openxmlformats.org/wordprocessingml/2006/main">
  <w:divs>
    <w:div w:id="172064630">
      <w:bodyDiv w:val="1"/>
      <w:marLeft w:val="0"/>
      <w:marRight w:val="0"/>
      <w:marTop w:val="0"/>
      <w:marBottom w:val="0"/>
      <w:divBdr>
        <w:top w:val="none" w:sz="0" w:space="0" w:color="auto"/>
        <w:left w:val="none" w:sz="0" w:space="0" w:color="auto"/>
        <w:bottom w:val="none" w:sz="0" w:space="0" w:color="auto"/>
        <w:right w:val="none" w:sz="0" w:space="0" w:color="auto"/>
      </w:divBdr>
    </w:div>
    <w:div w:id="197089406">
      <w:bodyDiv w:val="1"/>
      <w:marLeft w:val="0"/>
      <w:marRight w:val="0"/>
      <w:marTop w:val="0"/>
      <w:marBottom w:val="0"/>
      <w:divBdr>
        <w:top w:val="none" w:sz="0" w:space="0" w:color="auto"/>
        <w:left w:val="none" w:sz="0" w:space="0" w:color="auto"/>
        <w:bottom w:val="none" w:sz="0" w:space="0" w:color="auto"/>
        <w:right w:val="none" w:sz="0" w:space="0" w:color="auto"/>
      </w:divBdr>
    </w:div>
    <w:div w:id="201406205">
      <w:bodyDiv w:val="1"/>
      <w:marLeft w:val="0"/>
      <w:marRight w:val="0"/>
      <w:marTop w:val="0"/>
      <w:marBottom w:val="0"/>
      <w:divBdr>
        <w:top w:val="none" w:sz="0" w:space="0" w:color="auto"/>
        <w:left w:val="none" w:sz="0" w:space="0" w:color="auto"/>
        <w:bottom w:val="none" w:sz="0" w:space="0" w:color="auto"/>
        <w:right w:val="none" w:sz="0" w:space="0" w:color="auto"/>
      </w:divBdr>
    </w:div>
    <w:div w:id="443772043">
      <w:bodyDiv w:val="1"/>
      <w:marLeft w:val="0"/>
      <w:marRight w:val="0"/>
      <w:marTop w:val="0"/>
      <w:marBottom w:val="0"/>
      <w:divBdr>
        <w:top w:val="none" w:sz="0" w:space="0" w:color="auto"/>
        <w:left w:val="none" w:sz="0" w:space="0" w:color="auto"/>
        <w:bottom w:val="none" w:sz="0" w:space="0" w:color="auto"/>
        <w:right w:val="none" w:sz="0" w:space="0" w:color="auto"/>
      </w:divBdr>
    </w:div>
    <w:div w:id="844784505">
      <w:bodyDiv w:val="1"/>
      <w:marLeft w:val="0"/>
      <w:marRight w:val="0"/>
      <w:marTop w:val="0"/>
      <w:marBottom w:val="0"/>
      <w:divBdr>
        <w:top w:val="none" w:sz="0" w:space="0" w:color="auto"/>
        <w:left w:val="none" w:sz="0" w:space="0" w:color="auto"/>
        <w:bottom w:val="none" w:sz="0" w:space="0" w:color="auto"/>
        <w:right w:val="none" w:sz="0" w:space="0" w:color="auto"/>
      </w:divBdr>
    </w:div>
    <w:div w:id="864563088">
      <w:bodyDiv w:val="1"/>
      <w:marLeft w:val="0"/>
      <w:marRight w:val="0"/>
      <w:marTop w:val="0"/>
      <w:marBottom w:val="0"/>
      <w:divBdr>
        <w:top w:val="none" w:sz="0" w:space="0" w:color="auto"/>
        <w:left w:val="none" w:sz="0" w:space="0" w:color="auto"/>
        <w:bottom w:val="none" w:sz="0" w:space="0" w:color="auto"/>
        <w:right w:val="none" w:sz="0" w:space="0" w:color="auto"/>
      </w:divBdr>
    </w:div>
    <w:div w:id="1086807414">
      <w:bodyDiv w:val="1"/>
      <w:marLeft w:val="0"/>
      <w:marRight w:val="0"/>
      <w:marTop w:val="0"/>
      <w:marBottom w:val="0"/>
      <w:divBdr>
        <w:top w:val="none" w:sz="0" w:space="0" w:color="auto"/>
        <w:left w:val="none" w:sz="0" w:space="0" w:color="auto"/>
        <w:bottom w:val="none" w:sz="0" w:space="0" w:color="auto"/>
        <w:right w:val="none" w:sz="0" w:space="0" w:color="auto"/>
      </w:divBdr>
      <w:divsChild>
        <w:div w:id="1230843214">
          <w:marLeft w:val="0"/>
          <w:marRight w:val="0"/>
          <w:marTop w:val="0"/>
          <w:marBottom w:val="0"/>
          <w:divBdr>
            <w:top w:val="none" w:sz="0" w:space="0" w:color="auto"/>
            <w:left w:val="none" w:sz="0" w:space="0" w:color="auto"/>
            <w:bottom w:val="none" w:sz="0" w:space="0" w:color="auto"/>
            <w:right w:val="none" w:sz="0" w:space="0" w:color="auto"/>
          </w:divBdr>
        </w:div>
      </w:divsChild>
    </w:div>
    <w:div w:id="1171480831">
      <w:bodyDiv w:val="1"/>
      <w:marLeft w:val="0"/>
      <w:marRight w:val="0"/>
      <w:marTop w:val="0"/>
      <w:marBottom w:val="0"/>
      <w:divBdr>
        <w:top w:val="none" w:sz="0" w:space="0" w:color="auto"/>
        <w:left w:val="none" w:sz="0" w:space="0" w:color="auto"/>
        <w:bottom w:val="none" w:sz="0" w:space="0" w:color="auto"/>
        <w:right w:val="none" w:sz="0" w:space="0" w:color="auto"/>
      </w:divBdr>
    </w:div>
    <w:div w:id="1528788532">
      <w:bodyDiv w:val="1"/>
      <w:marLeft w:val="0"/>
      <w:marRight w:val="0"/>
      <w:marTop w:val="0"/>
      <w:marBottom w:val="0"/>
      <w:divBdr>
        <w:top w:val="none" w:sz="0" w:space="0" w:color="auto"/>
        <w:left w:val="none" w:sz="0" w:space="0" w:color="auto"/>
        <w:bottom w:val="none" w:sz="0" w:space="0" w:color="auto"/>
        <w:right w:val="none" w:sz="0" w:space="0" w:color="auto"/>
      </w:divBdr>
    </w:div>
    <w:div w:id="1594515564">
      <w:bodyDiv w:val="1"/>
      <w:marLeft w:val="0"/>
      <w:marRight w:val="0"/>
      <w:marTop w:val="0"/>
      <w:marBottom w:val="0"/>
      <w:divBdr>
        <w:top w:val="none" w:sz="0" w:space="0" w:color="auto"/>
        <w:left w:val="none" w:sz="0" w:space="0" w:color="auto"/>
        <w:bottom w:val="none" w:sz="0" w:space="0" w:color="auto"/>
        <w:right w:val="none" w:sz="0" w:space="0" w:color="auto"/>
      </w:divBdr>
    </w:div>
    <w:div w:id="1684042283">
      <w:bodyDiv w:val="1"/>
      <w:marLeft w:val="0"/>
      <w:marRight w:val="0"/>
      <w:marTop w:val="0"/>
      <w:marBottom w:val="0"/>
      <w:divBdr>
        <w:top w:val="none" w:sz="0" w:space="0" w:color="auto"/>
        <w:left w:val="none" w:sz="0" w:space="0" w:color="auto"/>
        <w:bottom w:val="none" w:sz="0" w:space="0" w:color="auto"/>
        <w:right w:val="none" w:sz="0" w:space="0" w:color="auto"/>
      </w:divBdr>
    </w:div>
    <w:div w:id="1934699505">
      <w:bodyDiv w:val="1"/>
      <w:marLeft w:val="0"/>
      <w:marRight w:val="0"/>
      <w:marTop w:val="0"/>
      <w:marBottom w:val="0"/>
      <w:divBdr>
        <w:top w:val="none" w:sz="0" w:space="0" w:color="auto"/>
        <w:left w:val="none" w:sz="0" w:space="0" w:color="auto"/>
        <w:bottom w:val="none" w:sz="0" w:space="0" w:color="auto"/>
        <w:right w:val="none" w:sz="0" w:space="0" w:color="auto"/>
      </w:divBdr>
    </w:div>
    <w:div w:id="1964723025">
      <w:bodyDiv w:val="1"/>
      <w:marLeft w:val="0"/>
      <w:marRight w:val="0"/>
      <w:marTop w:val="0"/>
      <w:marBottom w:val="0"/>
      <w:divBdr>
        <w:top w:val="none" w:sz="0" w:space="0" w:color="auto"/>
        <w:left w:val="none" w:sz="0" w:space="0" w:color="auto"/>
        <w:bottom w:val="none" w:sz="0" w:space="0" w:color="auto"/>
        <w:right w:val="none" w:sz="0" w:space="0" w:color="auto"/>
      </w:divBdr>
    </w:div>
    <w:div w:id="1982537839">
      <w:bodyDiv w:val="1"/>
      <w:marLeft w:val="0"/>
      <w:marRight w:val="0"/>
      <w:marTop w:val="0"/>
      <w:marBottom w:val="0"/>
      <w:divBdr>
        <w:top w:val="none" w:sz="0" w:space="0" w:color="auto"/>
        <w:left w:val="none" w:sz="0" w:space="0" w:color="auto"/>
        <w:bottom w:val="none" w:sz="0" w:space="0" w:color="auto"/>
        <w:right w:val="none" w:sz="0" w:space="0" w:color="auto"/>
      </w:divBdr>
    </w:div>
    <w:div w:id="199610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jpeg"/><Relationship Id="rId28" Type="http://schemas.openxmlformats.org/officeDocument/2006/relationships/chart" Target="charts/chart9.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9.jpeg"/><Relationship Id="rId27" Type="http://schemas.openxmlformats.org/officeDocument/2006/relationships/chart" Target="charts/chart8.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EAMN\Curso%20-%20Biolog&#237;a%20Experimental%20I\Gr&#225;fico%20de%20clorofil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EAMN\Curso%20-%20Biolog&#237;a%20Experimental%20I\Gr&#225;fico%20de%20clorofil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esktop\EAMN\Curso%20-%20Biolog&#237;a%20Experimental%20I\Gr&#225;fico%20de%20clorofil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EAMN\Curso%20-%20Biolog&#237;a%20Experimental%20I\Gr&#225;fico%20de%20clorofil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esktop\EAMN\Curso%20-%20Biolog&#237;a%20Experimental%20I\nitra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esktop\EAMN\Curso%20-%20Biolog&#237;a%20Experimental%20I\nitra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esktop\EAMN\Curso%20-%20Biolog&#237;a%20Experimental%20I\nitra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Desktop\EAMN\Curso%20-%20Biolog&#237;a%20Experimental%20I\nitra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Desktop\EAMN\Curso%20-%20Biolog&#237;a%20Experimental%20I\nitr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PE"/>
  <c:chart>
    <c:title>
      <c:tx>
        <c:rich>
          <a:bodyPr/>
          <a:lstStyle/>
          <a:p>
            <a:pPr>
              <a:defRPr/>
            </a:pPr>
            <a:r>
              <a:rPr lang="en-US"/>
              <a:t>Clorofila en</a:t>
            </a:r>
            <a:r>
              <a:rPr lang="en-US" baseline="0"/>
              <a:t> plantas de </a:t>
            </a:r>
            <a:r>
              <a:rPr lang="en-US" i="1" baseline="0"/>
              <a:t>Beta vulgaris </a:t>
            </a:r>
            <a:r>
              <a:rPr lang="en-US" i="0" u="none" baseline="0"/>
              <a:t>(</a:t>
            </a:r>
            <a:r>
              <a:rPr lang="en-US" i="0" baseline="0"/>
              <a:t>en </a:t>
            </a:r>
            <a:r>
              <a:rPr lang="el-GR" i="0" baseline="0">
                <a:latin typeface="+mn-lt"/>
                <a:cs typeface="Times New Roman"/>
              </a:rPr>
              <a:t>μ</a:t>
            </a:r>
            <a:r>
              <a:rPr lang="es-PE" i="0" baseline="0">
                <a:latin typeface="+mn-lt"/>
                <a:cs typeface="Aharoni" pitchFamily="2" charset="-79"/>
              </a:rPr>
              <a:t>g/ml)</a:t>
            </a:r>
            <a:endParaRPr lang="en-US"/>
          </a:p>
        </c:rich>
      </c:tx>
    </c:title>
    <c:plotArea>
      <c:layout/>
      <c:barChart>
        <c:barDir val="col"/>
        <c:grouping val="clustered"/>
        <c:ser>
          <c:idx val="0"/>
          <c:order val="0"/>
          <c:tx>
            <c:strRef>
              <c:f>Hoja1!$D$1</c:f>
              <c:strCache>
                <c:ptCount val="1"/>
                <c:pt idx="0">
                  <c:v>Clorofila a</c:v>
                </c:pt>
              </c:strCache>
            </c:strRef>
          </c:tx>
          <c:val>
            <c:numRef>
              <c:f>Hoja1!$D$3:$D$11</c:f>
              <c:numCache>
                <c:formatCode>General</c:formatCode>
                <c:ptCount val="9"/>
                <c:pt idx="0">
                  <c:v>10.051300000000001</c:v>
                </c:pt>
                <c:pt idx="1">
                  <c:v>10.392450000000011</c:v>
                </c:pt>
                <c:pt idx="2">
                  <c:v>10.271050000000001</c:v>
                </c:pt>
                <c:pt idx="3">
                  <c:v>8.1924900000000047</c:v>
                </c:pt>
                <c:pt idx="4">
                  <c:v>11.910740000000002</c:v>
                </c:pt>
                <c:pt idx="5">
                  <c:v>11.21932</c:v>
                </c:pt>
                <c:pt idx="6">
                  <c:v>10.001810000000001</c:v>
                </c:pt>
                <c:pt idx="7">
                  <c:v>10.758769999999998</c:v>
                </c:pt>
                <c:pt idx="8">
                  <c:v>10.48105</c:v>
                </c:pt>
              </c:numCache>
            </c:numRef>
          </c:val>
        </c:ser>
        <c:ser>
          <c:idx val="1"/>
          <c:order val="1"/>
          <c:tx>
            <c:strRef>
              <c:f>Hoja1!$E$1</c:f>
              <c:strCache>
                <c:ptCount val="1"/>
                <c:pt idx="0">
                  <c:v>Clorofila b</c:v>
                </c:pt>
              </c:strCache>
            </c:strRef>
          </c:tx>
          <c:val>
            <c:numRef>
              <c:f>Hoja1!$E$3:$E$11</c:f>
              <c:numCache>
                <c:formatCode>General</c:formatCode>
                <c:ptCount val="9"/>
                <c:pt idx="0">
                  <c:v>1.8894500000000001</c:v>
                </c:pt>
                <c:pt idx="1">
                  <c:v>2.2216799999999988</c:v>
                </c:pt>
                <c:pt idx="2">
                  <c:v>1.7032899999999993</c:v>
                </c:pt>
                <c:pt idx="3">
                  <c:v>1.7330299999999996</c:v>
                </c:pt>
                <c:pt idx="4">
                  <c:v>2.3679599999999987</c:v>
                </c:pt>
                <c:pt idx="5">
                  <c:v>2.5036900000000006</c:v>
                </c:pt>
                <c:pt idx="6">
                  <c:v>2.0806800000000001</c:v>
                </c:pt>
                <c:pt idx="7">
                  <c:v>4.4965199999999976</c:v>
                </c:pt>
                <c:pt idx="8">
                  <c:v>1.9952299999999998</c:v>
                </c:pt>
              </c:numCache>
            </c:numRef>
          </c:val>
        </c:ser>
        <c:ser>
          <c:idx val="2"/>
          <c:order val="2"/>
          <c:tx>
            <c:strRef>
              <c:f>Hoja1!$F$1</c:f>
              <c:strCache>
                <c:ptCount val="1"/>
                <c:pt idx="0">
                  <c:v>Clorofila Total</c:v>
                </c:pt>
              </c:strCache>
            </c:strRef>
          </c:tx>
          <c:val>
            <c:numRef>
              <c:f>Hoja1!$F$3:$F$11</c:f>
              <c:numCache>
                <c:formatCode>General</c:formatCode>
                <c:ptCount val="9"/>
                <c:pt idx="0">
                  <c:v>11.94075</c:v>
                </c:pt>
                <c:pt idx="1">
                  <c:v>12.614129999999999</c:v>
                </c:pt>
                <c:pt idx="2">
                  <c:v>11.974340000000002</c:v>
                </c:pt>
                <c:pt idx="3">
                  <c:v>9.9255200000000023</c:v>
                </c:pt>
                <c:pt idx="4">
                  <c:v>14.278700000000001</c:v>
                </c:pt>
                <c:pt idx="5">
                  <c:v>13.72301</c:v>
                </c:pt>
                <c:pt idx="6">
                  <c:v>12.082490000000009</c:v>
                </c:pt>
                <c:pt idx="7">
                  <c:v>15.255290000000002</c:v>
                </c:pt>
                <c:pt idx="8">
                  <c:v>12.476280000000004</c:v>
                </c:pt>
              </c:numCache>
            </c:numRef>
          </c:val>
        </c:ser>
        <c:gapWidth val="75"/>
        <c:overlap val="-25"/>
        <c:axId val="107348352"/>
        <c:axId val="107351040"/>
      </c:barChart>
      <c:catAx>
        <c:axId val="107348352"/>
        <c:scaling>
          <c:orientation val="minMax"/>
        </c:scaling>
        <c:axPos val="b"/>
        <c:majorTickMark val="none"/>
        <c:tickLblPos val="nextTo"/>
        <c:crossAx val="107351040"/>
        <c:crosses val="autoZero"/>
        <c:auto val="1"/>
        <c:lblAlgn val="ctr"/>
        <c:lblOffset val="100"/>
      </c:catAx>
      <c:valAx>
        <c:axId val="107351040"/>
        <c:scaling>
          <c:orientation val="minMax"/>
        </c:scaling>
        <c:axPos val="l"/>
        <c:majorGridlines/>
        <c:numFmt formatCode="General" sourceLinked="1"/>
        <c:majorTickMark val="none"/>
        <c:tickLblPos val="nextTo"/>
        <c:spPr>
          <a:ln w="9525">
            <a:noFill/>
          </a:ln>
        </c:spPr>
        <c:crossAx val="107348352"/>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PE"/>
  <c:chart>
    <c:title>
      <c:tx>
        <c:rich>
          <a:bodyPr/>
          <a:lstStyle/>
          <a:p>
            <a:pPr>
              <a:defRPr/>
            </a:pPr>
            <a:r>
              <a:rPr lang="es-PE"/>
              <a:t>Clorofila en plantas de </a:t>
            </a:r>
            <a:r>
              <a:rPr lang="es-PE" i="1"/>
              <a:t>Spinacia oleracea </a:t>
            </a:r>
            <a:r>
              <a:rPr lang="en-US" sz="1800" b="1" i="0" u="none" strike="noStrike" baseline="0"/>
              <a:t>(en </a:t>
            </a:r>
            <a:r>
              <a:rPr lang="el-GR" sz="1800" b="1" i="0" u="none" strike="noStrike" baseline="0"/>
              <a:t>μ</a:t>
            </a:r>
            <a:r>
              <a:rPr lang="es-PE" sz="1800" b="1" i="0" u="none" strike="noStrike" baseline="0"/>
              <a:t>g/ml)</a:t>
            </a:r>
            <a:endParaRPr lang="es-PE"/>
          </a:p>
        </c:rich>
      </c:tx>
    </c:title>
    <c:plotArea>
      <c:layout/>
      <c:barChart>
        <c:barDir val="col"/>
        <c:grouping val="clustered"/>
        <c:ser>
          <c:idx val="0"/>
          <c:order val="0"/>
          <c:tx>
            <c:strRef>
              <c:f>Hoja1!$D$1</c:f>
              <c:strCache>
                <c:ptCount val="1"/>
                <c:pt idx="0">
                  <c:v>Clorofila a</c:v>
                </c:pt>
              </c:strCache>
            </c:strRef>
          </c:tx>
          <c:val>
            <c:numRef>
              <c:f>Hoja1!$D$12:$D$20</c:f>
              <c:numCache>
                <c:formatCode>General</c:formatCode>
                <c:ptCount val="9"/>
                <c:pt idx="0">
                  <c:v>7.9485399999999995</c:v>
                </c:pt>
                <c:pt idx="1">
                  <c:v>6.2342999999999993</c:v>
                </c:pt>
                <c:pt idx="2">
                  <c:v>9.7412299999999981</c:v>
                </c:pt>
                <c:pt idx="3">
                  <c:v>8.7142799999999987</c:v>
                </c:pt>
                <c:pt idx="4">
                  <c:v>4.9206199999999995</c:v>
                </c:pt>
                <c:pt idx="5">
                  <c:v>8.5533100000000015</c:v>
                </c:pt>
                <c:pt idx="6">
                  <c:v>7.5857700000000001</c:v>
                </c:pt>
                <c:pt idx="7">
                  <c:v>8.8370000000000015</c:v>
                </c:pt>
                <c:pt idx="8">
                  <c:v>10.413140000000002</c:v>
                </c:pt>
              </c:numCache>
            </c:numRef>
          </c:val>
        </c:ser>
        <c:ser>
          <c:idx val="1"/>
          <c:order val="1"/>
          <c:tx>
            <c:strRef>
              <c:f>Hoja1!$E$1</c:f>
              <c:strCache>
                <c:ptCount val="1"/>
                <c:pt idx="0">
                  <c:v>Clorofila b</c:v>
                </c:pt>
              </c:strCache>
            </c:strRef>
          </c:tx>
          <c:val>
            <c:numRef>
              <c:f>Hoja1!$E$12:$E$20</c:f>
              <c:numCache>
                <c:formatCode>General</c:formatCode>
                <c:ptCount val="9"/>
                <c:pt idx="0">
                  <c:v>1.9292500000000001</c:v>
                </c:pt>
                <c:pt idx="1">
                  <c:v>1.3903799999999999</c:v>
                </c:pt>
                <c:pt idx="2">
                  <c:v>2.1510799999999977</c:v>
                </c:pt>
                <c:pt idx="3">
                  <c:v>1.9143199999999987</c:v>
                </c:pt>
                <c:pt idx="4">
                  <c:v>1.3296999999999981</c:v>
                </c:pt>
                <c:pt idx="5">
                  <c:v>1.9243499999999987</c:v>
                </c:pt>
                <c:pt idx="6">
                  <c:v>1.8335500000000007</c:v>
                </c:pt>
                <c:pt idx="7">
                  <c:v>2.0149999999999997</c:v>
                </c:pt>
                <c:pt idx="8">
                  <c:v>6.9725099999999989</c:v>
                </c:pt>
              </c:numCache>
            </c:numRef>
          </c:val>
        </c:ser>
        <c:ser>
          <c:idx val="2"/>
          <c:order val="2"/>
          <c:tx>
            <c:strRef>
              <c:f>Hoja1!$F$1</c:f>
              <c:strCache>
                <c:ptCount val="1"/>
                <c:pt idx="0">
                  <c:v>Clorofila Total</c:v>
                </c:pt>
              </c:strCache>
            </c:strRef>
          </c:tx>
          <c:val>
            <c:numRef>
              <c:f>Hoja1!$F$12:$F$20</c:f>
              <c:numCache>
                <c:formatCode>General</c:formatCode>
                <c:ptCount val="9"/>
                <c:pt idx="0">
                  <c:v>9.8777900000000027</c:v>
                </c:pt>
                <c:pt idx="1">
                  <c:v>7.6246799999999952</c:v>
                </c:pt>
                <c:pt idx="2">
                  <c:v>11.892310000000002</c:v>
                </c:pt>
                <c:pt idx="3">
                  <c:v>10.6286</c:v>
                </c:pt>
                <c:pt idx="4">
                  <c:v>6.2503199999999985</c:v>
                </c:pt>
                <c:pt idx="5">
                  <c:v>10.477660000000002</c:v>
                </c:pt>
                <c:pt idx="6">
                  <c:v>9.419319999999999</c:v>
                </c:pt>
                <c:pt idx="7">
                  <c:v>10.852000000000009</c:v>
                </c:pt>
                <c:pt idx="8">
                  <c:v>17.385649999999959</c:v>
                </c:pt>
              </c:numCache>
            </c:numRef>
          </c:val>
        </c:ser>
        <c:gapWidth val="75"/>
        <c:overlap val="-25"/>
        <c:axId val="102490496"/>
        <c:axId val="102492032"/>
      </c:barChart>
      <c:catAx>
        <c:axId val="102490496"/>
        <c:scaling>
          <c:orientation val="minMax"/>
        </c:scaling>
        <c:axPos val="b"/>
        <c:majorTickMark val="none"/>
        <c:tickLblPos val="nextTo"/>
        <c:crossAx val="102492032"/>
        <c:crosses val="autoZero"/>
        <c:auto val="1"/>
        <c:lblAlgn val="ctr"/>
        <c:lblOffset val="100"/>
      </c:catAx>
      <c:valAx>
        <c:axId val="102492032"/>
        <c:scaling>
          <c:orientation val="minMax"/>
        </c:scaling>
        <c:axPos val="l"/>
        <c:majorGridlines/>
        <c:numFmt formatCode="General" sourceLinked="1"/>
        <c:majorTickMark val="none"/>
        <c:tickLblPos val="nextTo"/>
        <c:spPr>
          <a:ln w="9525">
            <a:noFill/>
          </a:ln>
        </c:spPr>
        <c:crossAx val="102490496"/>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PE"/>
  <c:chart>
    <c:title>
      <c:tx>
        <c:rich>
          <a:bodyPr/>
          <a:lstStyle/>
          <a:p>
            <a:pPr>
              <a:defRPr sz="1050"/>
            </a:pPr>
            <a:r>
              <a:rPr lang="es-PE" sz="1050"/>
              <a:t>Total de clorofilas</a:t>
            </a:r>
          </a:p>
        </c:rich>
      </c:tx>
    </c:title>
    <c:plotArea>
      <c:layout/>
      <c:scatterChart>
        <c:scatterStyle val="lineMarker"/>
        <c:ser>
          <c:idx val="0"/>
          <c:order val="0"/>
          <c:tx>
            <c:strRef>
              <c:f>Hoja1!$Q$22</c:f>
              <c:strCache>
                <c:ptCount val="1"/>
                <c:pt idx="0">
                  <c:v>Spinacia oleracea</c:v>
                </c:pt>
              </c:strCache>
            </c:strRef>
          </c:tx>
          <c:spPr>
            <a:ln w="28575">
              <a:noFill/>
            </a:ln>
          </c:spPr>
          <c:trendline>
            <c:spPr>
              <a:ln>
                <a:solidFill>
                  <a:schemeClr val="accent1"/>
                </a:solidFill>
              </a:ln>
            </c:spPr>
            <c:trendlineType val="linear"/>
            <c:dispRSqr val="1"/>
            <c:trendlineLbl>
              <c:layout>
                <c:manualLayout>
                  <c:x val="-1.472802968594444E-2"/>
                  <c:y val="8.8748576239290944E-2"/>
                </c:manualLayout>
              </c:layout>
              <c:numFmt formatCode="General" sourceLinked="0"/>
            </c:trendlineLbl>
          </c:trendline>
          <c:xVal>
            <c:numRef>
              <c:f>Hoja1!$P$23:$P$31</c:f>
              <c:numCache>
                <c:formatCode>General</c:formatCode>
                <c:ptCount val="9"/>
                <c:pt idx="0">
                  <c:v>2.2000000000000002</c:v>
                </c:pt>
                <c:pt idx="1">
                  <c:v>2.2000000000000002</c:v>
                </c:pt>
                <c:pt idx="2">
                  <c:v>2.2000000000000002</c:v>
                </c:pt>
                <c:pt idx="3">
                  <c:v>3</c:v>
                </c:pt>
                <c:pt idx="4">
                  <c:v>3</c:v>
                </c:pt>
                <c:pt idx="5">
                  <c:v>3</c:v>
                </c:pt>
                <c:pt idx="6">
                  <c:v>3.5</c:v>
                </c:pt>
                <c:pt idx="7">
                  <c:v>3.5</c:v>
                </c:pt>
                <c:pt idx="8">
                  <c:v>3.5</c:v>
                </c:pt>
              </c:numCache>
            </c:numRef>
          </c:xVal>
          <c:yVal>
            <c:numRef>
              <c:f>Hoja1!$Q$23:$Q$31</c:f>
              <c:numCache>
                <c:formatCode>General</c:formatCode>
                <c:ptCount val="9"/>
                <c:pt idx="0">
                  <c:v>9.8777900000000027</c:v>
                </c:pt>
                <c:pt idx="1">
                  <c:v>7.6246799999999952</c:v>
                </c:pt>
                <c:pt idx="2">
                  <c:v>11.892310000000002</c:v>
                </c:pt>
                <c:pt idx="3">
                  <c:v>10.6286</c:v>
                </c:pt>
                <c:pt idx="4">
                  <c:v>6.2503199999999985</c:v>
                </c:pt>
                <c:pt idx="5">
                  <c:v>10.477660000000002</c:v>
                </c:pt>
                <c:pt idx="6">
                  <c:v>9.419319999999999</c:v>
                </c:pt>
                <c:pt idx="7">
                  <c:v>10.852000000000009</c:v>
                </c:pt>
                <c:pt idx="8">
                  <c:v>17.385649999999959</c:v>
                </c:pt>
              </c:numCache>
            </c:numRef>
          </c:yVal>
        </c:ser>
        <c:ser>
          <c:idx val="1"/>
          <c:order val="1"/>
          <c:tx>
            <c:strRef>
              <c:f>Hoja1!$R$22</c:f>
              <c:strCache>
                <c:ptCount val="1"/>
                <c:pt idx="0">
                  <c:v>Beta vulgaris</c:v>
                </c:pt>
              </c:strCache>
            </c:strRef>
          </c:tx>
          <c:spPr>
            <a:ln w="28575">
              <a:noFill/>
            </a:ln>
          </c:spPr>
          <c:marker>
            <c:spPr>
              <a:solidFill>
                <a:srgbClr val="FF0000"/>
              </a:solidFill>
              <a:ln>
                <a:solidFill>
                  <a:srgbClr val="FF0000"/>
                </a:solidFill>
              </a:ln>
            </c:spPr>
          </c:marker>
          <c:trendline>
            <c:spPr>
              <a:ln>
                <a:solidFill>
                  <a:srgbClr val="FF0000"/>
                </a:solidFill>
              </a:ln>
            </c:spPr>
            <c:trendlineType val="linear"/>
            <c:dispRSqr val="1"/>
            <c:trendlineLbl>
              <c:layout>
                <c:manualLayout>
                  <c:x val="-1.472802968594444E-2"/>
                  <c:y val="-9.647650175803496E-2"/>
                </c:manualLayout>
              </c:layout>
              <c:numFmt formatCode="General" sourceLinked="0"/>
            </c:trendlineLbl>
          </c:trendline>
          <c:xVal>
            <c:numRef>
              <c:f>Hoja1!$P$23:$P$31</c:f>
              <c:numCache>
                <c:formatCode>General</c:formatCode>
                <c:ptCount val="9"/>
                <c:pt idx="0">
                  <c:v>2.2000000000000002</c:v>
                </c:pt>
                <c:pt idx="1">
                  <c:v>2.2000000000000002</c:v>
                </c:pt>
                <c:pt idx="2">
                  <c:v>2.2000000000000002</c:v>
                </c:pt>
                <c:pt idx="3">
                  <c:v>3</c:v>
                </c:pt>
                <c:pt idx="4">
                  <c:v>3</c:v>
                </c:pt>
                <c:pt idx="5">
                  <c:v>3</c:v>
                </c:pt>
                <c:pt idx="6">
                  <c:v>3.5</c:v>
                </c:pt>
                <c:pt idx="7">
                  <c:v>3.5</c:v>
                </c:pt>
                <c:pt idx="8">
                  <c:v>3.5</c:v>
                </c:pt>
              </c:numCache>
            </c:numRef>
          </c:xVal>
          <c:yVal>
            <c:numRef>
              <c:f>Hoja1!$R$23:$R$31</c:f>
              <c:numCache>
                <c:formatCode>General</c:formatCode>
                <c:ptCount val="9"/>
                <c:pt idx="0">
                  <c:v>11.94075</c:v>
                </c:pt>
                <c:pt idx="1">
                  <c:v>12.614129999999999</c:v>
                </c:pt>
                <c:pt idx="2">
                  <c:v>11.974340000000002</c:v>
                </c:pt>
                <c:pt idx="3">
                  <c:v>9.9255200000000023</c:v>
                </c:pt>
                <c:pt idx="4">
                  <c:v>14.278700000000001</c:v>
                </c:pt>
                <c:pt idx="5">
                  <c:v>13.72301</c:v>
                </c:pt>
                <c:pt idx="6">
                  <c:v>12.082490000000009</c:v>
                </c:pt>
                <c:pt idx="7">
                  <c:v>15.255290000000002</c:v>
                </c:pt>
                <c:pt idx="8">
                  <c:v>12.476280000000004</c:v>
                </c:pt>
              </c:numCache>
            </c:numRef>
          </c:yVal>
        </c:ser>
        <c:axId val="106579072"/>
        <c:axId val="106580992"/>
      </c:scatterChart>
      <c:valAx>
        <c:axId val="106579072"/>
        <c:scaling>
          <c:orientation val="minMax"/>
          <c:min val="2"/>
        </c:scaling>
        <c:axPos val="b"/>
        <c:title>
          <c:tx>
            <c:rich>
              <a:bodyPr/>
              <a:lstStyle/>
              <a:p>
                <a:pPr>
                  <a:defRPr sz="800"/>
                </a:pPr>
                <a:r>
                  <a:rPr lang="es-PE" sz="800"/>
                  <a:t>Salinidad del tratamiento</a:t>
                </a:r>
                <a:r>
                  <a:rPr lang="es-PE" sz="800" baseline="0"/>
                  <a:t> (mS/cm)</a:t>
                </a:r>
                <a:endParaRPr lang="es-PE" sz="800"/>
              </a:p>
            </c:rich>
          </c:tx>
        </c:title>
        <c:numFmt formatCode="General" sourceLinked="1"/>
        <c:majorTickMark val="none"/>
        <c:tickLblPos val="nextTo"/>
        <c:crossAx val="106580992"/>
        <c:crosses val="autoZero"/>
        <c:crossBetween val="midCat"/>
      </c:valAx>
      <c:valAx>
        <c:axId val="106580992"/>
        <c:scaling>
          <c:orientation val="minMax"/>
        </c:scaling>
        <c:axPos val="l"/>
        <c:majorGridlines/>
        <c:title>
          <c:tx>
            <c:rich>
              <a:bodyPr/>
              <a:lstStyle/>
              <a:p>
                <a:pPr>
                  <a:defRPr sz="800"/>
                </a:pPr>
                <a:r>
                  <a:rPr lang="es-PE" sz="800"/>
                  <a:t>Total</a:t>
                </a:r>
                <a:r>
                  <a:rPr lang="es-PE" sz="800" baseline="0"/>
                  <a:t> de clorofilas (ppm)</a:t>
                </a:r>
                <a:endParaRPr lang="es-PE" sz="800"/>
              </a:p>
            </c:rich>
          </c:tx>
        </c:title>
        <c:numFmt formatCode="General" sourceLinked="1"/>
        <c:majorTickMark val="none"/>
        <c:tickLblPos val="nextTo"/>
        <c:crossAx val="106579072"/>
        <c:crosses val="autoZero"/>
        <c:crossBetween val="midCat"/>
      </c:valAx>
    </c:plotArea>
    <c:legend>
      <c:legendPos val="r"/>
      <c:legendEntry>
        <c:idx val="0"/>
        <c:txPr>
          <a:bodyPr/>
          <a:lstStyle/>
          <a:p>
            <a:pPr>
              <a:defRPr sz="800"/>
            </a:pPr>
            <a:endParaRPr lang="es-PE"/>
          </a:p>
        </c:txPr>
      </c:legendEntry>
      <c:legendEntry>
        <c:idx val="1"/>
        <c:txPr>
          <a:bodyPr/>
          <a:lstStyle/>
          <a:p>
            <a:pPr>
              <a:defRPr sz="800"/>
            </a:pPr>
            <a:endParaRPr lang="es-PE"/>
          </a:p>
        </c:txPr>
      </c:legendEntry>
      <c:legendEntry>
        <c:idx val="2"/>
        <c:delete val="1"/>
      </c:legendEntry>
      <c:legendEntry>
        <c:idx val="3"/>
        <c:delete val="1"/>
      </c:legendEntry>
      <c:layout>
        <c:manualLayout>
          <c:xMode val="edge"/>
          <c:yMode val="edge"/>
          <c:x val="0.75458285817721049"/>
          <c:y val="0.45707571930867158"/>
          <c:w val="0.24323468941382359"/>
          <c:h val="0.16743438320210025"/>
        </c:manualLayout>
      </c:layout>
      <c:txPr>
        <a:bodyPr/>
        <a:lstStyle/>
        <a:p>
          <a:pPr>
            <a:defRPr sz="700"/>
          </a:pPr>
          <a:endParaRPr lang="es-PE"/>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PE"/>
  <c:chart>
    <c:title>
      <c:tx>
        <c:rich>
          <a:bodyPr/>
          <a:lstStyle/>
          <a:p>
            <a:pPr algn="ctr">
              <a:defRPr sz="1200"/>
            </a:pPr>
            <a:r>
              <a:rPr lang="es-PE" sz="1200"/>
              <a:t>Proporció</a:t>
            </a:r>
            <a:r>
              <a:rPr lang="es-PE" sz="1200" baseline="0"/>
              <a:t>n entre clorofilas a y b</a:t>
            </a:r>
            <a:endParaRPr lang="es-PE" sz="1200"/>
          </a:p>
        </c:rich>
      </c:tx>
      <c:layout>
        <c:manualLayout>
          <c:xMode val="edge"/>
          <c:yMode val="edge"/>
          <c:x val="0.20515068493150682"/>
          <c:y val="1.9536019536019539E-2"/>
        </c:manualLayout>
      </c:layout>
    </c:title>
    <c:plotArea>
      <c:layout/>
      <c:scatterChart>
        <c:scatterStyle val="lineMarker"/>
        <c:ser>
          <c:idx val="0"/>
          <c:order val="0"/>
          <c:tx>
            <c:strRef>
              <c:f>Hoja1!$K$2</c:f>
              <c:strCache>
                <c:ptCount val="1"/>
                <c:pt idx="0">
                  <c:v>Beta vulgaris</c:v>
                </c:pt>
              </c:strCache>
            </c:strRef>
          </c:tx>
          <c:spPr>
            <a:ln w="28575">
              <a:noFill/>
            </a:ln>
          </c:spPr>
          <c:marker>
            <c:symbol val="diamond"/>
            <c:size val="3"/>
          </c:marker>
          <c:trendline>
            <c:trendlineType val="linear"/>
            <c:dispRSqr val="1"/>
            <c:trendlineLbl>
              <c:layout>
                <c:manualLayout>
                  <c:x val="2.5741469816272992E-3"/>
                  <c:y val="-6.9379192184310309E-2"/>
                </c:manualLayout>
              </c:layout>
              <c:numFmt formatCode="General" sourceLinked="0"/>
              <c:txPr>
                <a:bodyPr/>
                <a:lstStyle/>
                <a:p>
                  <a:pPr>
                    <a:defRPr b="1"/>
                  </a:pPr>
                  <a:endParaRPr lang="es-PE"/>
                </a:p>
              </c:txPr>
            </c:trendlineLbl>
          </c:trendline>
          <c:xVal>
            <c:numRef>
              <c:f>Hoja1!$I$3:$I$11</c:f>
              <c:numCache>
                <c:formatCode>General</c:formatCode>
                <c:ptCount val="9"/>
                <c:pt idx="0">
                  <c:v>2.2000000000000002</c:v>
                </c:pt>
                <c:pt idx="1">
                  <c:v>2.2000000000000002</c:v>
                </c:pt>
                <c:pt idx="2">
                  <c:v>2.2000000000000002</c:v>
                </c:pt>
                <c:pt idx="3">
                  <c:v>3</c:v>
                </c:pt>
                <c:pt idx="4">
                  <c:v>3</c:v>
                </c:pt>
                <c:pt idx="5">
                  <c:v>3</c:v>
                </c:pt>
                <c:pt idx="6">
                  <c:v>3.5</c:v>
                </c:pt>
                <c:pt idx="7">
                  <c:v>3.5</c:v>
                </c:pt>
                <c:pt idx="8">
                  <c:v>3.5</c:v>
                </c:pt>
              </c:numCache>
            </c:numRef>
          </c:xVal>
          <c:yVal>
            <c:numRef>
              <c:f>Hoja1!$K$3:$K$11</c:f>
              <c:numCache>
                <c:formatCode>General</c:formatCode>
                <c:ptCount val="9"/>
                <c:pt idx="0">
                  <c:v>5.3196962078911874</c:v>
                </c:pt>
                <c:pt idx="1">
                  <c:v>4.6777438695041598</c:v>
                </c:pt>
                <c:pt idx="2">
                  <c:v>6.0301240540365955</c:v>
                </c:pt>
                <c:pt idx="3">
                  <c:v>4.727263809628222</c:v>
                </c:pt>
                <c:pt idx="4">
                  <c:v>5.0299582763222297</c:v>
                </c:pt>
                <c:pt idx="5">
                  <c:v>4.4811138759191413</c:v>
                </c:pt>
                <c:pt idx="6">
                  <c:v>4.8069909837168634</c:v>
                </c:pt>
                <c:pt idx="7">
                  <c:v>4.6732712573985875</c:v>
                </c:pt>
                <c:pt idx="8">
                  <c:v>5.2530535326754295</c:v>
                </c:pt>
              </c:numCache>
            </c:numRef>
          </c:yVal>
        </c:ser>
        <c:ser>
          <c:idx val="1"/>
          <c:order val="1"/>
          <c:tx>
            <c:strRef>
              <c:f>Hoja1!$J$2</c:f>
              <c:strCache>
                <c:ptCount val="1"/>
                <c:pt idx="0">
                  <c:v>Spinacia oleracea</c:v>
                </c:pt>
              </c:strCache>
            </c:strRef>
          </c:tx>
          <c:spPr>
            <a:ln w="28575">
              <a:noFill/>
            </a:ln>
          </c:spPr>
          <c:marker>
            <c:symbol val="square"/>
            <c:size val="3"/>
          </c:marker>
          <c:trendline>
            <c:trendlineType val="linear"/>
            <c:dispRSqr val="1"/>
            <c:trendlineLbl>
              <c:layout>
                <c:manualLayout>
                  <c:x val="-4.3344950733617306E-2"/>
                  <c:y val="0.13042810825117448"/>
                </c:manualLayout>
              </c:layout>
              <c:numFmt formatCode="General" sourceLinked="0"/>
              <c:txPr>
                <a:bodyPr/>
                <a:lstStyle/>
                <a:p>
                  <a:pPr>
                    <a:defRPr b="1"/>
                  </a:pPr>
                  <a:endParaRPr lang="es-PE"/>
                </a:p>
              </c:txPr>
            </c:trendlineLbl>
          </c:trendline>
          <c:xVal>
            <c:numRef>
              <c:f>Hoja1!$I$3:$I$11</c:f>
              <c:numCache>
                <c:formatCode>General</c:formatCode>
                <c:ptCount val="9"/>
                <c:pt idx="0">
                  <c:v>2.2000000000000002</c:v>
                </c:pt>
                <c:pt idx="1">
                  <c:v>2.2000000000000002</c:v>
                </c:pt>
                <c:pt idx="2">
                  <c:v>2.2000000000000002</c:v>
                </c:pt>
                <c:pt idx="3">
                  <c:v>3</c:v>
                </c:pt>
                <c:pt idx="4">
                  <c:v>3</c:v>
                </c:pt>
                <c:pt idx="5">
                  <c:v>3</c:v>
                </c:pt>
                <c:pt idx="6">
                  <c:v>3.5</c:v>
                </c:pt>
                <c:pt idx="7">
                  <c:v>3.5</c:v>
                </c:pt>
                <c:pt idx="8">
                  <c:v>3.5</c:v>
                </c:pt>
              </c:numCache>
            </c:numRef>
          </c:xVal>
          <c:yVal>
            <c:numRef>
              <c:f>Hoja1!$J$3:$J$11</c:f>
              <c:numCache>
                <c:formatCode>General</c:formatCode>
                <c:ptCount val="9"/>
                <c:pt idx="0">
                  <c:v>4.1200155500842204</c:v>
                </c:pt>
                <c:pt idx="1">
                  <c:v>4.4838821041729675</c:v>
                </c:pt>
                <c:pt idx="2">
                  <c:v>4.5285298547706283</c:v>
                </c:pt>
                <c:pt idx="3">
                  <c:v>4.5521542897739096</c:v>
                </c:pt>
                <c:pt idx="4">
                  <c:v>3.7005489960141387</c:v>
                </c:pt>
                <c:pt idx="5">
                  <c:v>4.4447787564632284</c:v>
                </c:pt>
                <c:pt idx="6">
                  <c:v>4.1372037850072338</c:v>
                </c:pt>
                <c:pt idx="7">
                  <c:v>4.3856079404466506</c:v>
                </c:pt>
                <c:pt idx="8">
                  <c:v>4.2572385093106826</c:v>
                </c:pt>
              </c:numCache>
            </c:numRef>
          </c:yVal>
        </c:ser>
        <c:axId val="108649472"/>
        <c:axId val="109073536"/>
      </c:scatterChart>
      <c:valAx>
        <c:axId val="108649472"/>
        <c:scaling>
          <c:orientation val="minMax"/>
          <c:max val="4"/>
          <c:min val="2"/>
        </c:scaling>
        <c:axPos val="b"/>
        <c:title>
          <c:tx>
            <c:rich>
              <a:bodyPr/>
              <a:lstStyle/>
              <a:p>
                <a:pPr>
                  <a:defRPr/>
                </a:pPr>
                <a:r>
                  <a:rPr lang="es-PE"/>
                  <a:t>Salinidad del tratamiento</a:t>
                </a:r>
              </a:p>
            </c:rich>
          </c:tx>
        </c:title>
        <c:numFmt formatCode="General" sourceLinked="1"/>
        <c:majorTickMark val="none"/>
        <c:tickLblPos val="nextTo"/>
        <c:crossAx val="109073536"/>
        <c:crosses val="autoZero"/>
        <c:crossBetween val="midCat"/>
      </c:valAx>
      <c:valAx>
        <c:axId val="109073536"/>
        <c:scaling>
          <c:orientation val="minMax"/>
        </c:scaling>
        <c:axPos val="l"/>
        <c:majorGridlines/>
        <c:title>
          <c:tx>
            <c:rich>
              <a:bodyPr/>
              <a:lstStyle/>
              <a:p>
                <a:pPr>
                  <a:defRPr/>
                </a:pPr>
                <a:r>
                  <a:rPr lang="es-PE"/>
                  <a:t>Proporción</a:t>
                </a:r>
                <a:r>
                  <a:rPr lang="es-PE" baseline="0"/>
                  <a:t> a/b</a:t>
                </a:r>
                <a:endParaRPr lang="es-PE"/>
              </a:p>
            </c:rich>
          </c:tx>
        </c:title>
        <c:numFmt formatCode="General" sourceLinked="1"/>
        <c:majorTickMark val="none"/>
        <c:tickLblPos val="nextTo"/>
        <c:crossAx val="108649472"/>
        <c:crosses val="autoZero"/>
        <c:crossBetween val="midCat"/>
      </c:valAx>
    </c:plotArea>
    <c:legend>
      <c:legendPos val="r"/>
      <c:legendEntry>
        <c:idx val="2"/>
        <c:delete val="1"/>
      </c:legendEntry>
      <c:legendEntry>
        <c:idx val="3"/>
        <c:delete val="1"/>
      </c:legendEntry>
      <c:layout>
        <c:manualLayout>
          <c:xMode val="edge"/>
          <c:yMode val="edge"/>
          <c:x val="0.61072333081652463"/>
          <c:y val="0.82108467210829439"/>
          <c:w val="0.31987027648941152"/>
          <c:h val="0.17663407458683053"/>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PE"/>
  <c:chart>
    <c:title>
      <c:tx>
        <c:rich>
          <a:bodyPr/>
          <a:lstStyle/>
          <a:p>
            <a:pPr>
              <a:defRPr sz="1000"/>
            </a:pPr>
            <a:r>
              <a:rPr lang="es-PE" sz="1000"/>
              <a:t>Absorbancia</a:t>
            </a:r>
            <a:r>
              <a:rPr lang="es-PE" sz="1000" baseline="0"/>
              <a:t> de extractos de plantas tratadas a  diferentes concentraciones</a:t>
            </a:r>
            <a:endParaRPr lang="es-PE" sz="1000"/>
          </a:p>
        </c:rich>
      </c:tx>
    </c:title>
    <c:plotArea>
      <c:layout/>
      <c:scatterChart>
        <c:scatterStyle val="lineMarker"/>
        <c:ser>
          <c:idx val="0"/>
          <c:order val="0"/>
          <c:tx>
            <c:strRef>
              <c:f>Hoja1!$B$10</c:f>
              <c:strCache>
                <c:ptCount val="1"/>
                <c:pt idx="0">
                  <c:v>3.5</c:v>
                </c:pt>
              </c:strCache>
            </c:strRef>
          </c:tx>
          <c:spPr>
            <a:ln w="28575">
              <a:noFill/>
            </a:ln>
          </c:spPr>
          <c:trendline>
            <c:trendlineType val="linear"/>
            <c:dispRSqr val="1"/>
            <c:dispEq val="1"/>
            <c:trendlineLbl>
              <c:layout>
                <c:manualLayout>
                  <c:x val="0.18659851416877976"/>
                  <c:y val="0.23196808732241841"/>
                </c:manualLayout>
              </c:layout>
              <c:numFmt formatCode="General" sourceLinked="0"/>
              <c:txPr>
                <a:bodyPr/>
                <a:lstStyle/>
                <a:p>
                  <a:pPr>
                    <a:defRPr b="1"/>
                  </a:pPr>
                  <a:endParaRPr lang="es-PE"/>
                </a:p>
              </c:txPr>
            </c:trendlineLbl>
          </c:trendline>
          <c:xVal>
            <c:numRef>
              <c:f>Hoja1!$B$2:$B$10</c:f>
              <c:numCache>
                <c:formatCode>General</c:formatCode>
                <c:ptCount val="9"/>
                <c:pt idx="0">
                  <c:v>2</c:v>
                </c:pt>
                <c:pt idx="1">
                  <c:v>2</c:v>
                </c:pt>
                <c:pt idx="2">
                  <c:v>2</c:v>
                </c:pt>
                <c:pt idx="3">
                  <c:v>3</c:v>
                </c:pt>
                <c:pt idx="4">
                  <c:v>3</c:v>
                </c:pt>
                <c:pt idx="5">
                  <c:v>3</c:v>
                </c:pt>
                <c:pt idx="6">
                  <c:v>3.5</c:v>
                </c:pt>
                <c:pt idx="7">
                  <c:v>3.5</c:v>
                </c:pt>
                <c:pt idx="8">
                  <c:v>3.5</c:v>
                </c:pt>
              </c:numCache>
            </c:numRef>
          </c:xVal>
          <c:yVal>
            <c:numRef>
              <c:f>Hoja1!$C$2:$C$10</c:f>
              <c:numCache>
                <c:formatCode>0.000</c:formatCode>
                <c:ptCount val="9"/>
                <c:pt idx="0" formatCode="General">
                  <c:v>0.89600000000000013</c:v>
                </c:pt>
                <c:pt idx="1">
                  <c:v>0.82000000000000062</c:v>
                </c:pt>
                <c:pt idx="2" formatCode="General">
                  <c:v>0.74500000000000077</c:v>
                </c:pt>
                <c:pt idx="3" formatCode="General">
                  <c:v>0.73600000000000065</c:v>
                </c:pt>
                <c:pt idx="4" formatCode="General">
                  <c:v>0.55200000000000005</c:v>
                </c:pt>
                <c:pt idx="5" formatCode="General">
                  <c:v>0.64400000000000091</c:v>
                </c:pt>
                <c:pt idx="6" formatCode="General">
                  <c:v>0.43100000000000038</c:v>
                </c:pt>
                <c:pt idx="7" formatCode="General">
                  <c:v>0.62300000000000078</c:v>
                </c:pt>
                <c:pt idx="8" formatCode="General">
                  <c:v>0.52700000000000002</c:v>
                </c:pt>
              </c:numCache>
            </c:numRef>
          </c:yVal>
        </c:ser>
        <c:axId val="109091456"/>
        <c:axId val="109101440"/>
      </c:scatterChart>
      <c:valAx>
        <c:axId val="109091456"/>
        <c:scaling>
          <c:orientation val="minMax"/>
          <c:min val="1.5"/>
        </c:scaling>
        <c:axPos val="b"/>
        <c:numFmt formatCode="General" sourceLinked="1"/>
        <c:tickLblPos val="nextTo"/>
        <c:crossAx val="109101440"/>
        <c:crosses val="autoZero"/>
        <c:crossBetween val="midCat"/>
      </c:valAx>
      <c:valAx>
        <c:axId val="109101440"/>
        <c:scaling>
          <c:orientation val="minMax"/>
        </c:scaling>
        <c:axPos val="l"/>
        <c:majorGridlines/>
        <c:numFmt formatCode="General" sourceLinked="1"/>
        <c:tickLblPos val="nextTo"/>
        <c:crossAx val="109091456"/>
        <c:crosses val="autoZero"/>
        <c:crossBetween val="midCat"/>
        <c:majorUnit val="0.1"/>
        <c:minorUnit val="0.1"/>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PE"/>
  <c:chart>
    <c:title>
      <c:tx>
        <c:rich>
          <a:bodyPr/>
          <a:lstStyle/>
          <a:p>
            <a:pPr>
              <a:defRPr sz="1400"/>
            </a:pPr>
            <a:r>
              <a:rPr lang="es-PE" sz="1200"/>
              <a:t>Relación entre absorbancia y número de micromoles de NO</a:t>
            </a:r>
            <a:r>
              <a:rPr lang="es-PE" sz="1200" baseline="-25000"/>
              <a:t>2 </a:t>
            </a:r>
            <a:r>
              <a:rPr lang="es-PE" sz="1200" baseline="0"/>
              <a:t>(curva estándar)</a:t>
            </a:r>
          </a:p>
        </c:rich>
      </c:tx>
    </c:title>
    <c:plotArea>
      <c:layout/>
      <c:scatterChart>
        <c:scatterStyle val="lineMarker"/>
        <c:ser>
          <c:idx val="0"/>
          <c:order val="0"/>
          <c:tx>
            <c:strRef>
              <c:f>Hoja1!$B$13</c:f>
              <c:strCache>
                <c:ptCount val="1"/>
                <c:pt idx="0">
                  <c:v>Absorbancia a 540 nm</c:v>
                </c:pt>
              </c:strCache>
            </c:strRef>
          </c:tx>
          <c:spPr>
            <a:ln w="28575">
              <a:noFill/>
            </a:ln>
          </c:spPr>
          <c:trendline>
            <c:trendlineType val="linear"/>
            <c:dispRSqr val="1"/>
            <c:dispEq val="1"/>
            <c:trendlineLbl>
              <c:layout>
                <c:manualLayout>
                  <c:x val="0.14849557364651453"/>
                  <c:y val="0.36138990723325676"/>
                </c:manualLayout>
              </c:layout>
              <c:numFmt formatCode="General" sourceLinked="0"/>
              <c:txPr>
                <a:bodyPr/>
                <a:lstStyle/>
                <a:p>
                  <a:pPr>
                    <a:defRPr b="1"/>
                  </a:pPr>
                  <a:endParaRPr lang="es-PE"/>
                </a:p>
              </c:txPr>
            </c:trendlineLbl>
          </c:trendline>
          <c:xVal>
            <c:numRef>
              <c:f>Hoja1!$A$14:$A$22</c:f>
              <c:numCache>
                <c:formatCode>General</c:formatCode>
                <c:ptCount val="9"/>
                <c:pt idx="0">
                  <c:v>5.3760000000000051E-2</c:v>
                </c:pt>
                <c:pt idx="1">
                  <c:v>4.9199999999999994E-2</c:v>
                </c:pt>
                <c:pt idx="2">
                  <c:v>4.470000000000008E-2</c:v>
                </c:pt>
                <c:pt idx="3">
                  <c:v>4.4160000000000033E-2</c:v>
                </c:pt>
                <c:pt idx="4">
                  <c:v>3.3120000000000004E-2</c:v>
                </c:pt>
                <c:pt idx="5">
                  <c:v>3.8640000000000001E-2</c:v>
                </c:pt>
                <c:pt idx="6">
                  <c:v>2.5860000000000001E-2</c:v>
                </c:pt>
                <c:pt idx="7">
                  <c:v>3.738000000000001E-2</c:v>
                </c:pt>
                <c:pt idx="8">
                  <c:v>3.1620000000000002E-2</c:v>
                </c:pt>
              </c:numCache>
            </c:numRef>
          </c:xVal>
          <c:yVal>
            <c:numRef>
              <c:f>Hoja1!$B$14:$B$22</c:f>
              <c:numCache>
                <c:formatCode>0.000</c:formatCode>
                <c:ptCount val="9"/>
                <c:pt idx="0" formatCode="General">
                  <c:v>0.89600000000000002</c:v>
                </c:pt>
                <c:pt idx="1">
                  <c:v>0.82000000000000062</c:v>
                </c:pt>
                <c:pt idx="2" formatCode="General">
                  <c:v>0.74500000000000077</c:v>
                </c:pt>
                <c:pt idx="3" formatCode="General">
                  <c:v>0.73600000000000065</c:v>
                </c:pt>
                <c:pt idx="4" formatCode="General">
                  <c:v>0.55200000000000005</c:v>
                </c:pt>
                <c:pt idx="5" formatCode="General">
                  <c:v>0.64400000000000091</c:v>
                </c:pt>
                <c:pt idx="6" formatCode="General">
                  <c:v>0.43100000000000038</c:v>
                </c:pt>
                <c:pt idx="7" formatCode="General">
                  <c:v>0.62300000000000078</c:v>
                </c:pt>
                <c:pt idx="8" formatCode="General">
                  <c:v>0.52700000000000002</c:v>
                </c:pt>
              </c:numCache>
            </c:numRef>
          </c:yVal>
        </c:ser>
        <c:axId val="110100864"/>
        <c:axId val="110102400"/>
      </c:scatterChart>
      <c:valAx>
        <c:axId val="110100864"/>
        <c:scaling>
          <c:orientation val="minMax"/>
          <c:max val="6.0000000000000032E-2"/>
          <c:min val="2.0000000000000011E-2"/>
        </c:scaling>
        <c:axPos val="b"/>
        <c:numFmt formatCode="General" sourceLinked="1"/>
        <c:tickLblPos val="nextTo"/>
        <c:crossAx val="110102400"/>
        <c:crosses val="autoZero"/>
        <c:crossBetween val="midCat"/>
      </c:valAx>
      <c:valAx>
        <c:axId val="110102400"/>
        <c:scaling>
          <c:orientation val="minMax"/>
        </c:scaling>
        <c:axPos val="l"/>
        <c:majorGridlines/>
        <c:numFmt formatCode="General" sourceLinked="1"/>
        <c:tickLblPos val="nextTo"/>
        <c:crossAx val="110100864"/>
        <c:crosses val="autoZero"/>
        <c:crossBetween val="midCat"/>
        <c:majorUnit val="0.1"/>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PE"/>
  <c:chart>
    <c:title>
      <c:tx>
        <c:rich>
          <a:bodyPr/>
          <a:lstStyle/>
          <a:p>
            <a:pPr>
              <a:defRPr sz="1100"/>
            </a:pPr>
            <a:r>
              <a:rPr lang="es-PE" sz="1100"/>
              <a:t>Longitud de la raíz por</a:t>
            </a:r>
            <a:r>
              <a:rPr lang="es-PE" sz="1100" baseline="0"/>
              <a:t> pH</a:t>
            </a:r>
            <a:endParaRPr lang="es-PE" sz="1100"/>
          </a:p>
        </c:rich>
      </c:tx>
    </c:title>
    <c:plotArea>
      <c:layout/>
      <c:scatterChart>
        <c:scatterStyle val="lineMarker"/>
        <c:ser>
          <c:idx val="0"/>
          <c:order val="0"/>
          <c:tx>
            <c:strRef>
              <c:f>Hoja2!$I$13</c:f>
              <c:strCache>
                <c:ptCount val="1"/>
                <c:pt idx="0">
                  <c:v>Rojo</c:v>
                </c:pt>
              </c:strCache>
            </c:strRef>
          </c:tx>
          <c:spPr>
            <a:ln w="28575">
              <a:noFill/>
            </a:ln>
          </c:spPr>
          <c:marker>
            <c:symbol val="diamond"/>
            <c:size val="7"/>
            <c:spPr>
              <a:solidFill>
                <a:schemeClr val="accent2"/>
              </a:solidFill>
              <a:ln>
                <a:solidFill>
                  <a:srgbClr val="C0504D"/>
                </a:solidFill>
              </a:ln>
            </c:spPr>
          </c:marker>
          <c:trendline>
            <c:spPr>
              <a:ln w="25400">
                <a:solidFill>
                  <a:schemeClr val="accent3">
                    <a:lumMod val="75000"/>
                  </a:schemeClr>
                </a:solidFill>
                <a:prstDash val="solid"/>
              </a:ln>
            </c:spPr>
            <c:trendlineType val="poly"/>
            <c:order val="2"/>
            <c:dispRSqr val="1"/>
            <c:trendlineLbl>
              <c:layout>
                <c:manualLayout>
                  <c:x val="-1.0129670412421899E-2"/>
                  <c:y val="-5.5927541215005712E-2"/>
                </c:manualLayout>
              </c:layout>
              <c:numFmt formatCode="General" sourceLinked="0"/>
              <c:txPr>
                <a:bodyPr/>
                <a:lstStyle/>
                <a:p>
                  <a:pPr>
                    <a:defRPr b="1"/>
                  </a:pPr>
                  <a:endParaRPr lang="es-PE"/>
                </a:p>
              </c:txPr>
            </c:trendlineLbl>
          </c:trendline>
          <c:xVal>
            <c:numRef>
              <c:f>Hoja2!$H$14:$H$19</c:f>
              <c:numCache>
                <c:formatCode>General</c:formatCode>
                <c:ptCount val="6"/>
                <c:pt idx="1">
                  <c:v>4.5</c:v>
                </c:pt>
                <c:pt idx="2">
                  <c:v>5.5</c:v>
                </c:pt>
                <c:pt idx="3">
                  <c:v>6.5</c:v>
                </c:pt>
                <c:pt idx="4">
                  <c:v>7.5</c:v>
                </c:pt>
                <c:pt idx="5">
                  <c:v>8.5</c:v>
                </c:pt>
              </c:numCache>
            </c:numRef>
          </c:xVal>
          <c:yVal>
            <c:numRef>
              <c:f>Hoja2!$I$14:$I$19</c:f>
              <c:numCache>
                <c:formatCode>General</c:formatCode>
                <c:ptCount val="6"/>
                <c:pt idx="0">
                  <c:v>0</c:v>
                </c:pt>
                <c:pt idx="1">
                  <c:v>9</c:v>
                </c:pt>
                <c:pt idx="2">
                  <c:v>14</c:v>
                </c:pt>
                <c:pt idx="3">
                  <c:v>17</c:v>
                </c:pt>
                <c:pt idx="4">
                  <c:v>15</c:v>
                </c:pt>
                <c:pt idx="5">
                  <c:v>21</c:v>
                </c:pt>
              </c:numCache>
            </c:numRef>
          </c:yVal>
          <c:smooth val="1"/>
        </c:ser>
        <c:ser>
          <c:idx val="1"/>
          <c:order val="1"/>
          <c:tx>
            <c:strRef>
              <c:f>Hoja2!$J$13</c:f>
              <c:strCache>
                <c:ptCount val="1"/>
                <c:pt idx="0">
                  <c:v>Verde</c:v>
                </c:pt>
              </c:strCache>
            </c:strRef>
          </c:tx>
          <c:spPr>
            <a:ln w="28575">
              <a:noFill/>
            </a:ln>
          </c:spPr>
          <c:marker>
            <c:symbol val="square"/>
            <c:size val="7"/>
            <c:spPr>
              <a:solidFill>
                <a:schemeClr val="accent3"/>
              </a:solidFill>
              <a:ln>
                <a:solidFill>
                  <a:schemeClr val="accent3"/>
                </a:solidFill>
              </a:ln>
            </c:spPr>
          </c:marker>
          <c:trendline>
            <c:spPr>
              <a:ln w="25400">
                <a:solidFill>
                  <a:schemeClr val="accent2">
                    <a:lumMod val="75000"/>
                  </a:schemeClr>
                </a:solidFill>
                <a:prstDash val="solid"/>
              </a:ln>
            </c:spPr>
            <c:trendlineType val="poly"/>
            <c:order val="2"/>
            <c:dispRSqr val="1"/>
            <c:trendlineLbl>
              <c:layout>
                <c:manualLayout>
                  <c:x val="1.6240242696935615E-2"/>
                  <c:y val="0.11663615485564308"/>
                </c:manualLayout>
              </c:layout>
              <c:numFmt formatCode="General" sourceLinked="0"/>
              <c:txPr>
                <a:bodyPr/>
                <a:lstStyle/>
                <a:p>
                  <a:pPr>
                    <a:defRPr b="1"/>
                  </a:pPr>
                  <a:endParaRPr lang="es-PE"/>
                </a:p>
              </c:txPr>
            </c:trendlineLbl>
          </c:trendline>
          <c:xVal>
            <c:numRef>
              <c:f>Hoja2!$H$14:$H$19</c:f>
              <c:numCache>
                <c:formatCode>General</c:formatCode>
                <c:ptCount val="6"/>
                <c:pt idx="1">
                  <c:v>4.5</c:v>
                </c:pt>
                <c:pt idx="2">
                  <c:v>5.5</c:v>
                </c:pt>
                <c:pt idx="3">
                  <c:v>6.5</c:v>
                </c:pt>
                <c:pt idx="4">
                  <c:v>7.5</c:v>
                </c:pt>
                <c:pt idx="5">
                  <c:v>8.5</c:v>
                </c:pt>
              </c:numCache>
            </c:numRef>
          </c:xVal>
          <c:yVal>
            <c:numRef>
              <c:f>Hoja2!$J$14:$J$19</c:f>
              <c:numCache>
                <c:formatCode>General</c:formatCode>
                <c:ptCount val="6"/>
                <c:pt idx="1">
                  <c:v>10.5</c:v>
                </c:pt>
                <c:pt idx="2">
                  <c:v>14.5</c:v>
                </c:pt>
                <c:pt idx="3">
                  <c:v>15.5</c:v>
                </c:pt>
                <c:pt idx="4">
                  <c:v>18</c:v>
                </c:pt>
                <c:pt idx="5">
                  <c:v>17</c:v>
                </c:pt>
              </c:numCache>
            </c:numRef>
          </c:yVal>
          <c:smooth val="1"/>
        </c:ser>
        <c:axId val="110132608"/>
        <c:axId val="110138880"/>
      </c:scatterChart>
      <c:valAx>
        <c:axId val="110132608"/>
        <c:scaling>
          <c:orientation val="minMax"/>
          <c:max val="9"/>
          <c:min val="4"/>
        </c:scaling>
        <c:axPos val="b"/>
        <c:title>
          <c:tx>
            <c:rich>
              <a:bodyPr/>
              <a:lstStyle/>
              <a:p>
                <a:pPr>
                  <a:defRPr/>
                </a:pPr>
                <a:r>
                  <a:rPr lang="es-PE"/>
                  <a:t>pH</a:t>
                </a:r>
              </a:p>
            </c:rich>
          </c:tx>
        </c:title>
        <c:numFmt formatCode="General" sourceLinked="1"/>
        <c:majorTickMark val="none"/>
        <c:tickLblPos val="nextTo"/>
        <c:crossAx val="110138880"/>
        <c:crosses val="autoZero"/>
        <c:crossBetween val="midCat"/>
        <c:majorUnit val="0.5"/>
      </c:valAx>
      <c:valAx>
        <c:axId val="110138880"/>
        <c:scaling>
          <c:orientation val="minMax"/>
        </c:scaling>
        <c:axPos val="l"/>
        <c:majorGridlines/>
        <c:title>
          <c:tx>
            <c:rich>
              <a:bodyPr/>
              <a:lstStyle/>
              <a:p>
                <a:pPr>
                  <a:defRPr b="1"/>
                </a:pPr>
                <a:r>
                  <a:rPr lang="es-PE" sz="1000" b="1" i="0" u="none" strike="noStrike" baseline="0"/>
                  <a:t>Longitud de raíz (cm) </a:t>
                </a:r>
                <a:endParaRPr lang="en-US" b="1"/>
              </a:p>
            </c:rich>
          </c:tx>
        </c:title>
        <c:numFmt formatCode="General" sourceLinked="1"/>
        <c:majorTickMark val="none"/>
        <c:tickLblPos val="nextTo"/>
        <c:crossAx val="110132608"/>
        <c:crosses val="autoZero"/>
        <c:crossBetween val="midCat"/>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PE"/>
  <c:chart>
    <c:title>
      <c:tx>
        <c:rich>
          <a:bodyPr/>
          <a:lstStyle/>
          <a:p>
            <a:pPr>
              <a:defRPr sz="1100"/>
            </a:pPr>
            <a:r>
              <a:rPr lang="es-PE" sz="1100"/>
              <a:t>Altura de la cabeza por pH</a:t>
            </a:r>
          </a:p>
        </c:rich>
      </c:tx>
    </c:title>
    <c:plotArea>
      <c:layout/>
      <c:scatterChart>
        <c:scatterStyle val="lineMarker"/>
        <c:ser>
          <c:idx val="0"/>
          <c:order val="0"/>
          <c:tx>
            <c:strRef>
              <c:f>Hoja2!$K$13</c:f>
              <c:strCache>
                <c:ptCount val="1"/>
                <c:pt idx="0">
                  <c:v>Rojo</c:v>
                </c:pt>
              </c:strCache>
            </c:strRef>
          </c:tx>
          <c:spPr>
            <a:ln w="28575">
              <a:noFill/>
            </a:ln>
          </c:spPr>
          <c:marker>
            <c:symbol val="diamond"/>
            <c:size val="7"/>
            <c:spPr>
              <a:solidFill>
                <a:schemeClr val="accent3"/>
              </a:solidFill>
              <a:ln>
                <a:noFill/>
              </a:ln>
            </c:spPr>
          </c:marker>
          <c:trendline>
            <c:spPr>
              <a:ln w="25400">
                <a:solidFill>
                  <a:schemeClr val="accent3"/>
                </a:solidFill>
              </a:ln>
            </c:spPr>
            <c:trendlineType val="poly"/>
            <c:order val="2"/>
            <c:dispRSqr val="1"/>
            <c:trendlineLbl>
              <c:layout>
                <c:manualLayout>
                  <c:x val="-0.27065441819772534"/>
                  <c:y val="1.8144625945339953E-2"/>
                </c:manualLayout>
              </c:layout>
              <c:numFmt formatCode="General" sourceLinked="0"/>
              <c:txPr>
                <a:bodyPr/>
                <a:lstStyle/>
                <a:p>
                  <a:pPr>
                    <a:defRPr b="1"/>
                  </a:pPr>
                  <a:endParaRPr lang="es-PE"/>
                </a:p>
              </c:txPr>
            </c:trendlineLbl>
          </c:trendline>
          <c:xVal>
            <c:numRef>
              <c:f>Hoja2!$H$14:$H$19</c:f>
              <c:numCache>
                <c:formatCode>General</c:formatCode>
                <c:ptCount val="6"/>
                <c:pt idx="1">
                  <c:v>4.5</c:v>
                </c:pt>
                <c:pt idx="2">
                  <c:v>5.5</c:v>
                </c:pt>
                <c:pt idx="3">
                  <c:v>6.5</c:v>
                </c:pt>
                <c:pt idx="4">
                  <c:v>7.5</c:v>
                </c:pt>
                <c:pt idx="5">
                  <c:v>8.5</c:v>
                </c:pt>
              </c:numCache>
            </c:numRef>
          </c:xVal>
          <c:yVal>
            <c:numRef>
              <c:f>Hoja2!$K$14:$K$19</c:f>
              <c:numCache>
                <c:formatCode>General</c:formatCode>
                <c:ptCount val="6"/>
                <c:pt idx="0">
                  <c:v>0</c:v>
                </c:pt>
                <c:pt idx="1">
                  <c:v>17</c:v>
                </c:pt>
                <c:pt idx="2">
                  <c:v>17.5</c:v>
                </c:pt>
                <c:pt idx="3">
                  <c:v>19</c:v>
                </c:pt>
                <c:pt idx="4">
                  <c:v>21</c:v>
                </c:pt>
                <c:pt idx="5">
                  <c:v>23</c:v>
                </c:pt>
              </c:numCache>
            </c:numRef>
          </c:yVal>
        </c:ser>
        <c:ser>
          <c:idx val="1"/>
          <c:order val="1"/>
          <c:tx>
            <c:strRef>
              <c:f>Hoja2!$L$13</c:f>
              <c:strCache>
                <c:ptCount val="1"/>
                <c:pt idx="0">
                  <c:v>Verde</c:v>
                </c:pt>
              </c:strCache>
            </c:strRef>
          </c:tx>
          <c:spPr>
            <a:ln w="28575">
              <a:noFill/>
            </a:ln>
          </c:spPr>
          <c:trendline>
            <c:spPr>
              <a:ln w="25400">
                <a:solidFill>
                  <a:schemeClr val="accent2"/>
                </a:solidFill>
              </a:ln>
            </c:spPr>
            <c:trendlineType val="poly"/>
            <c:order val="2"/>
            <c:dispRSqr val="1"/>
            <c:trendlineLbl>
              <c:layout>
                <c:manualLayout>
                  <c:x val="-0.35861579383114034"/>
                  <c:y val="0.33459959426469082"/>
                </c:manualLayout>
              </c:layout>
              <c:numFmt formatCode="General" sourceLinked="0"/>
              <c:txPr>
                <a:bodyPr/>
                <a:lstStyle/>
                <a:p>
                  <a:pPr>
                    <a:defRPr b="1"/>
                  </a:pPr>
                  <a:endParaRPr lang="es-PE"/>
                </a:p>
              </c:txPr>
            </c:trendlineLbl>
          </c:trendline>
          <c:xVal>
            <c:numRef>
              <c:f>Hoja2!$H$14:$H$19</c:f>
              <c:numCache>
                <c:formatCode>General</c:formatCode>
                <c:ptCount val="6"/>
                <c:pt idx="1">
                  <c:v>4.5</c:v>
                </c:pt>
                <c:pt idx="2">
                  <c:v>5.5</c:v>
                </c:pt>
                <c:pt idx="3">
                  <c:v>6.5</c:v>
                </c:pt>
                <c:pt idx="4">
                  <c:v>7.5</c:v>
                </c:pt>
                <c:pt idx="5">
                  <c:v>8.5</c:v>
                </c:pt>
              </c:numCache>
            </c:numRef>
          </c:xVal>
          <c:yVal>
            <c:numRef>
              <c:f>Hoja2!$L$14:$L$19</c:f>
              <c:numCache>
                <c:formatCode>General</c:formatCode>
                <c:ptCount val="6"/>
                <c:pt idx="1">
                  <c:v>9</c:v>
                </c:pt>
                <c:pt idx="2">
                  <c:v>9</c:v>
                </c:pt>
                <c:pt idx="3">
                  <c:v>11</c:v>
                </c:pt>
                <c:pt idx="4">
                  <c:v>13</c:v>
                </c:pt>
                <c:pt idx="5">
                  <c:v>22</c:v>
                </c:pt>
              </c:numCache>
            </c:numRef>
          </c:yVal>
        </c:ser>
        <c:ser>
          <c:idx val="2"/>
          <c:order val="2"/>
          <c:spPr>
            <a:ln w="28575">
              <a:noFill/>
            </a:ln>
          </c:spPr>
          <c:xVal>
            <c:strRef>
              <c:f>Hoja2!$K$14</c:f>
              <c:strCache>
                <c:ptCount val="1"/>
                <c:pt idx="0">
                  <c:v>Altura de la cabeza (cm)</c:v>
                </c:pt>
              </c:strCache>
            </c:strRef>
          </c:xVal>
          <c:yVal>
            <c:numRef>
              <c:f>Hoja2!$L$14</c:f>
              <c:numCache>
                <c:formatCode>General</c:formatCode>
                <c:ptCount val="1"/>
              </c:numCache>
            </c:numRef>
          </c:yVal>
        </c:ser>
        <c:axId val="113734016"/>
        <c:axId val="113735936"/>
      </c:scatterChart>
      <c:valAx>
        <c:axId val="113734016"/>
        <c:scaling>
          <c:orientation val="minMax"/>
          <c:max val="9"/>
          <c:min val="4"/>
        </c:scaling>
        <c:axPos val="b"/>
        <c:title>
          <c:tx>
            <c:rich>
              <a:bodyPr/>
              <a:lstStyle/>
              <a:p>
                <a:pPr>
                  <a:defRPr/>
                </a:pPr>
                <a:r>
                  <a:rPr lang="es-PE"/>
                  <a:t>pH</a:t>
                </a:r>
              </a:p>
            </c:rich>
          </c:tx>
        </c:title>
        <c:numFmt formatCode="General" sourceLinked="1"/>
        <c:majorTickMark val="none"/>
        <c:tickLblPos val="nextTo"/>
        <c:crossAx val="113735936"/>
        <c:crosses val="autoZero"/>
        <c:crossBetween val="midCat"/>
      </c:valAx>
      <c:valAx>
        <c:axId val="113735936"/>
        <c:scaling>
          <c:orientation val="minMax"/>
        </c:scaling>
        <c:axPos val="l"/>
        <c:majorGridlines/>
        <c:title>
          <c:tx>
            <c:rich>
              <a:bodyPr/>
              <a:lstStyle/>
              <a:p>
                <a:pPr>
                  <a:defRPr/>
                </a:pPr>
                <a:r>
                  <a:rPr lang="es-PE"/>
                  <a:t>Altura de la cabeza (cm)</a:t>
                </a:r>
              </a:p>
            </c:rich>
          </c:tx>
        </c:title>
        <c:numFmt formatCode="General" sourceLinked="1"/>
        <c:majorTickMark val="none"/>
        <c:tickLblPos val="nextTo"/>
        <c:crossAx val="113734016"/>
        <c:crosses val="autoZero"/>
        <c:crossBetween val="midCat"/>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PE"/>
  <c:chart>
    <c:title>
      <c:tx>
        <c:rich>
          <a:bodyPr/>
          <a:lstStyle/>
          <a:p>
            <a:pPr>
              <a:defRPr sz="1100"/>
            </a:pPr>
            <a:r>
              <a:rPr lang="en-US" sz="1100"/>
              <a:t>Peso Fresco por pH</a:t>
            </a:r>
          </a:p>
        </c:rich>
      </c:tx>
    </c:title>
    <c:plotArea>
      <c:layout/>
      <c:scatterChart>
        <c:scatterStyle val="lineMarker"/>
        <c:ser>
          <c:idx val="0"/>
          <c:order val="0"/>
          <c:tx>
            <c:strRef>
              <c:f>Hoja2!$M$13</c:f>
              <c:strCache>
                <c:ptCount val="1"/>
                <c:pt idx="0">
                  <c:v>Rojo</c:v>
                </c:pt>
              </c:strCache>
            </c:strRef>
          </c:tx>
          <c:spPr>
            <a:ln w="28575">
              <a:noFill/>
            </a:ln>
          </c:spPr>
          <c:marker>
            <c:spPr>
              <a:solidFill>
                <a:schemeClr val="accent3"/>
              </a:solidFill>
            </c:spPr>
          </c:marker>
          <c:trendline>
            <c:spPr>
              <a:ln w="25400">
                <a:solidFill>
                  <a:schemeClr val="accent3"/>
                </a:solidFill>
              </a:ln>
            </c:spPr>
            <c:trendlineType val="poly"/>
            <c:order val="2"/>
            <c:dispRSqr val="1"/>
            <c:trendlineLbl>
              <c:layout>
                <c:manualLayout>
                  <c:x val="-0.10101258234085642"/>
                  <c:y val="0.2886827083677479"/>
                </c:manualLayout>
              </c:layout>
              <c:numFmt formatCode="General" sourceLinked="0"/>
              <c:txPr>
                <a:bodyPr/>
                <a:lstStyle/>
                <a:p>
                  <a:pPr>
                    <a:defRPr b="1"/>
                  </a:pPr>
                  <a:endParaRPr lang="es-PE"/>
                </a:p>
              </c:txPr>
            </c:trendlineLbl>
          </c:trendline>
          <c:xVal>
            <c:numRef>
              <c:f>Hoja2!$H$14:$H$19</c:f>
              <c:numCache>
                <c:formatCode>General</c:formatCode>
                <c:ptCount val="6"/>
                <c:pt idx="1">
                  <c:v>4.5</c:v>
                </c:pt>
                <c:pt idx="2">
                  <c:v>5.5</c:v>
                </c:pt>
                <c:pt idx="3">
                  <c:v>6.5</c:v>
                </c:pt>
                <c:pt idx="4">
                  <c:v>7.5</c:v>
                </c:pt>
                <c:pt idx="5">
                  <c:v>8.5</c:v>
                </c:pt>
              </c:numCache>
            </c:numRef>
          </c:xVal>
          <c:yVal>
            <c:numRef>
              <c:f>Hoja2!$M$14:$M$19</c:f>
              <c:numCache>
                <c:formatCode>General</c:formatCode>
                <c:ptCount val="6"/>
                <c:pt idx="0">
                  <c:v>0</c:v>
                </c:pt>
                <c:pt idx="1">
                  <c:v>43.9</c:v>
                </c:pt>
                <c:pt idx="2">
                  <c:v>22.5</c:v>
                </c:pt>
                <c:pt idx="3">
                  <c:v>71.8</c:v>
                </c:pt>
                <c:pt idx="4">
                  <c:v>70.8</c:v>
                </c:pt>
                <c:pt idx="5">
                  <c:v>107.6</c:v>
                </c:pt>
              </c:numCache>
            </c:numRef>
          </c:yVal>
        </c:ser>
        <c:ser>
          <c:idx val="1"/>
          <c:order val="1"/>
          <c:tx>
            <c:strRef>
              <c:f>Hoja2!$N$13</c:f>
              <c:strCache>
                <c:ptCount val="1"/>
                <c:pt idx="0">
                  <c:v>Verde</c:v>
                </c:pt>
              </c:strCache>
            </c:strRef>
          </c:tx>
          <c:spPr>
            <a:ln w="28575">
              <a:noFill/>
            </a:ln>
          </c:spPr>
          <c:trendline>
            <c:spPr>
              <a:ln w="25400">
                <a:solidFill>
                  <a:schemeClr val="accent2"/>
                </a:solidFill>
              </a:ln>
            </c:spPr>
            <c:trendlineType val="poly"/>
            <c:order val="2"/>
            <c:dispRSqr val="1"/>
            <c:trendlineLbl>
              <c:layout>
                <c:manualLayout>
                  <c:x val="-0.22438876958561996"/>
                  <c:y val="4.0868753964996091E-2"/>
                </c:manualLayout>
              </c:layout>
              <c:numFmt formatCode="General" sourceLinked="0"/>
              <c:txPr>
                <a:bodyPr/>
                <a:lstStyle/>
                <a:p>
                  <a:pPr>
                    <a:defRPr b="1"/>
                  </a:pPr>
                  <a:endParaRPr lang="es-PE"/>
                </a:p>
              </c:txPr>
            </c:trendlineLbl>
          </c:trendline>
          <c:xVal>
            <c:numRef>
              <c:f>Hoja2!$H$14:$H$19</c:f>
              <c:numCache>
                <c:formatCode>General</c:formatCode>
                <c:ptCount val="6"/>
                <c:pt idx="1">
                  <c:v>4.5</c:v>
                </c:pt>
                <c:pt idx="2">
                  <c:v>5.5</c:v>
                </c:pt>
                <c:pt idx="3">
                  <c:v>6.5</c:v>
                </c:pt>
                <c:pt idx="4">
                  <c:v>7.5</c:v>
                </c:pt>
                <c:pt idx="5">
                  <c:v>8.5</c:v>
                </c:pt>
              </c:numCache>
            </c:numRef>
          </c:xVal>
          <c:yVal>
            <c:numRef>
              <c:f>Hoja2!$N$14:$N$19</c:f>
              <c:numCache>
                <c:formatCode>General</c:formatCode>
                <c:ptCount val="6"/>
                <c:pt idx="1">
                  <c:v>41.6</c:v>
                </c:pt>
                <c:pt idx="2">
                  <c:v>61</c:v>
                </c:pt>
                <c:pt idx="3">
                  <c:v>57</c:v>
                </c:pt>
                <c:pt idx="4">
                  <c:v>92</c:v>
                </c:pt>
                <c:pt idx="5">
                  <c:v>104</c:v>
                </c:pt>
              </c:numCache>
            </c:numRef>
          </c:yVal>
        </c:ser>
        <c:axId val="124006784"/>
        <c:axId val="124008704"/>
      </c:scatterChart>
      <c:valAx>
        <c:axId val="124006784"/>
        <c:scaling>
          <c:orientation val="minMax"/>
          <c:max val="9"/>
          <c:min val="4"/>
        </c:scaling>
        <c:axPos val="b"/>
        <c:title>
          <c:tx>
            <c:rich>
              <a:bodyPr/>
              <a:lstStyle/>
              <a:p>
                <a:pPr>
                  <a:defRPr/>
                </a:pPr>
                <a:r>
                  <a:rPr lang="es-PE"/>
                  <a:t>pH</a:t>
                </a:r>
              </a:p>
            </c:rich>
          </c:tx>
        </c:title>
        <c:numFmt formatCode="General" sourceLinked="1"/>
        <c:majorTickMark val="none"/>
        <c:tickLblPos val="nextTo"/>
        <c:crossAx val="124008704"/>
        <c:crosses val="autoZero"/>
        <c:crossBetween val="midCat"/>
      </c:valAx>
      <c:valAx>
        <c:axId val="124008704"/>
        <c:scaling>
          <c:orientation val="minMax"/>
        </c:scaling>
        <c:axPos val="l"/>
        <c:majorGridlines/>
        <c:title>
          <c:tx>
            <c:rich>
              <a:bodyPr/>
              <a:lstStyle/>
              <a:p>
                <a:pPr>
                  <a:defRPr/>
                </a:pPr>
                <a:r>
                  <a:rPr lang="es-PE"/>
                  <a:t>Peso Fresco (g)</a:t>
                </a:r>
              </a:p>
            </c:rich>
          </c:tx>
        </c:title>
        <c:numFmt formatCode="General" sourceLinked="1"/>
        <c:majorTickMark val="none"/>
        <c:tickLblPos val="nextTo"/>
        <c:crossAx val="124006784"/>
        <c:crosses val="autoZero"/>
        <c:crossBetween val="midCat"/>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C049C-6114-4AAC-A841-E8C9E84C8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2243</TotalTime>
  <Pages>18</Pages>
  <Words>4705</Words>
  <Characters>25878</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MSC</dc:creator>
  <cp:keywords/>
  <dc:description/>
  <cp:lastModifiedBy>usuario</cp:lastModifiedBy>
  <cp:revision>49</cp:revision>
  <dcterms:created xsi:type="dcterms:W3CDTF">2011-09-13T00:55:00Z</dcterms:created>
  <dcterms:modified xsi:type="dcterms:W3CDTF">2011-12-16T04:51:00Z</dcterms:modified>
</cp:coreProperties>
</file>