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C3" w:rsidRPr="00C83F7E" w:rsidRDefault="00AC46C3" w:rsidP="00AC46C3">
      <w:pPr>
        <w:spacing w:after="240" w:line="360" w:lineRule="auto"/>
        <w:jc w:val="both"/>
        <w:rPr>
          <w:b/>
          <w:sz w:val="28"/>
          <w:lang w:val="en-GB"/>
        </w:rPr>
      </w:pPr>
      <w:proofErr w:type="spellStart"/>
      <w:r w:rsidRPr="00C83F7E">
        <w:rPr>
          <w:b/>
          <w:sz w:val="28"/>
          <w:lang w:val="en-GB"/>
        </w:rPr>
        <w:t>Suplementary</w:t>
      </w:r>
      <w:proofErr w:type="spellEnd"/>
      <w:r w:rsidRPr="00C83F7E">
        <w:rPr>
          <w:b/>
          <w:sz w:val="28"/>
          <w:lang w:val="en-GB"/>
        </w:rPr>
        <w:t xml:space="preserve"> material</w:t>
      </w:r>
    </w:p>
    <w:p w:rsidR="00AC46C3" w:rsidRPr="004C0EF7" w:rsidRDefault="00AC46C3" w:rsidP="00AC46C3">
      <w:pPr>
        <w:spacing w:before="160" w:line="360" w:lineRule="auto"/>
        <w:jc w:val="both"/>
        <w:rPr>
          <w:lang w:val="en-GB"/>
        </w:rPr>
      </w:pPr>
      <w:r w:rsidRPr="004C0EF7">
        <w:rPr>
          <w:lang w:val="en-GB"/>
        </w:rPr>
        <w:t>T</w:t>
      </w:r>
      <w:r>
        <w:rPr>
          <w:lang w:val="en-GB"/>
        </w:rPr>
        <w:t>able S1</w:t>
      </w:r>
      <w:r w:rsidRPr="004C0EF7">
        <w:rPr>
          <w:lang w:val="en-GB"/>
        </w:rPr>
        <w:t xml:space="preserve"> – Number of quality filtered </w:t>
      </w:r>
      <w:proofErr w:type="spellStart"/>
      <w:r w:rsidRPr="004C0EF7">
        <w:rPr>
          <w:lang w:val="en-GB"/>
        </w:rPr>
        <w:t>Illumina</w:t>
      </w:r>
      <w:proofErr w:type="spellEnd"/>
      <w:r w:rsidRPr="004C0EF7">
        <w:rPr>
          <w:lang w:val="en-GB"/>
        </w:rPr>
        <w:t>® barcoded sequences</w:t>
      </w:r>
    </w:p>
    <w:tbl>
      <w:tblPr>
        <w:tblW w:w="5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410"/>
      </w:tblGrid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3" w:rsidRPr="004C0EF7" w:rsidRDefault="00AC46C3" w:rsidP="007F2817">
            <w:pPr>
              <w:jc w:val="center"/>
              <w:rPr>
                <w:b/>
                <w:lang w:val="en-GB"/>
              </w:rPr>
            </w:pPr>
            <w:r w:rsidRPr="004C0EF7">
              <w:rPr>
                <w:b/>
                <w:lang w:val="en-GB"/>
              </w:rPr>
              <w:t>Treatments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3" w:rsidRPr="004C0EF7" w:rsidRDefault="00AC46C3" w:rsidP="007F2817">
            <w:pPr>
              <w:jc w:val="right"/>
              <w:rPr>
                <w:b/>
                <w:color w:val="000000"/>
                <w:lang w:val="en-GB"/>
              </w:rPr>
            </w:pPr>
            <w:r w:rsidRPr="004C0EF7">
              <w:rPr>
                <w:b/>
                <w:color w:val="000000"/>
                <w:lang w:val="en-GB"/>
              </w:rPr>
              <w:t xml:space="preserve">16S </w:t>
            </w:r>
            <w:proofErr w:type="spellStart"/>
            <w:r w:rsidRPr="004C0EF7">
              <w:rPr>
                <w:b/>
                <w:color w:val="000000"/>
                <w:lang w:val="en-GB"/>
              </w:rPr>
              <w:t>rRNA</w:t>
            </w:r>
            <w:proofErr w:type="spellEnd"/>
            <w:r w:rsidRPr="004C0EF7">
              <w:rPr>
                <w:b/>
                <w:color w:val="000000"/>
                <w:lang w:val="en-GB"/>
              </w:rPr>
              <w:t xml:space="preserve"> gene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3" w:rsidRPr="004C0EF7" w:rsidRDefault="00AC46C3" w:rsidP="007F2817">
            <w:pPr>
              <w:jc w:val="right"/>
              <w:rPr>
                <w:b/>
                <w:color w:val="000000"/>
                <w:lang w:val="en-GB"/>
              </w:rPr>
            </w:pPr>
            <w:r w:rsidRPr="004C0EF7">
              <w:rPr>
                <w:b/>
                <w:color w:val="000000"/>
                <w:lang w:val="en-GB"/>
              </w:rPr>
              <w:t xml:space="preserve">Fungal </w:t>
            </w:r>
            <w:proofErr w:type="spellStart"/>
            <w:r w:rsidRPr="004C0EF7">
              <w:rPr>
                <w:b/>
                <w:color w:val="000000"/>
                <w:lang w:val="en-GB"/>
              </w:rPr>
              <w:t>Intergenic</w:t>
            </w:r>
            <w:proofErr w:type="spellEnd"/>
            <w:r w:rsidRPr="004C0EF7">
              <w:rPr>
                <w:b/>
                <w:color w:val="000000"/>
                <w:lang w:val="en-GB"/>
              </w:rPr>
              <w:t xml:space="preserve"> Spacer (ITS1)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Crude Oil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45695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25315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Crude Oil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47917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46921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Crude Oil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52889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55579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Control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54458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91866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Control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55487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100736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Control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58337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103852</w:t>
            </w:r>
          </w:p>
        </w:tc>
      </w:tr>
      <w:tr w:rsidR="00AC46C3" w:rsidRPr="004C0EF7" w:rsidTr="007F2817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46C3" w:rsidRPr="004C0EF7" w:rsidRDefault="00AC46C3" w:rsidP="007F2817">
            <w:pPr>
              <w:jc w:val="center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314748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46C3" w:rsidRPr="004C0EF7" w:rsidRDefault="00AC46C3" w:rsidP="007F2817">
            <w:pPr>
              <w:jc w:val="right"/>
              <w:rPr>
                <w:color w:val="000000"/>
                <w:lang w:val="en-GB"/>
              </w:rPr>
            </w:pPr>
            <w:r w:rsidRPr="004C0EF7">
              <w:rPr>
                <w:color w:val="000000"/>
                <w:lang w:val="en-GB"/>
              </w:rPr>
              <w:t>424269</w:t>
            </w:r>
          </w:p>
        </w:tc>
      </w:tr>
    </w:tbl>
    <w:p w:rsidR="00AC46C3" w:rsidRDefault="00AC46C3" w:rsidP="00AC46C3">
      <w:pPr>
        <w:spacing w:before="160" w:line="360" w:lineRule="auto"/>
        <w:jc w:val="both"/>
        <w:rPr>
          <w:sz w:val="22"/>
          <w:lang w:val="en-GB"/>
        </w:rPr>
      </w:pPr>
      <w:r w:rsidRPr="004C0EF7">
        <w:rPr>
          <w:sz w:val="22"/>
          <w:lang w:val="en-GB"/>
        </w:rPr>
        <w:t xml:space="preserve">Sequences of 16S </w:t>
      </w:r>
      <w:proofErr w:type="spellStart"/>
      <w:r w:rsidRPr="004C0EF7">
        <w:rPr>
          <w:sz w:val="22"/>
          <w:lang w:val="en-GB"/>
        </w:rPr>
        <w:t>rRNA</w:t>
      </w:r>
      <w:proofErr w:type="spellEnd"/>
      <w:r w:rsidRPr="004C0EF7">
        <w:rPr>
          <w:sz w:val="22"/>
          <w:lang w:val="en-GB"/>
        </w:rPr>
        <w:t xml:space="preserve"> gene (average length 253 </w:t>
      </w:r>
      <w:proofErr w:type="spellStart"/>
      <w:r w:rsidRPr="004C0EF7">
        <w:rPr>
          <w:sz w:val="22"/>
          <w:lang w:val="en-GB"/>
        </w:rPr>
        <w:t>bp</w:t>
      </w:r>
      <w:proofErr w:type="spellEnd"/>
      <w:r w:rsidRPr="004C0EF7">
        <w:rPr>
          <w:sz w:val="22"/>
          <w:lang w:val="en-GB"/>
        </w:rPr>
        <w:t xml:space="preserve">) and Fungal </w:t>
      </w:r>
      <w:proofErr w:type="spellStart"/>
      <w:r w:rsidRPr="004C0EF7">
        <w:rPr>
          <w:sz w:val="22"/>
          <w:lang w:val="en-GB"/>
        </w:rPr>
        <w:t>Intergenic</w:t>
      </w:r>
      <w:proofErr w:type="spellEnd"/>
      <w:r w:rsidRPr="004C0EF7">
        <w:rPr>
          <w:sz w:val="22"/>
          <w:lang w:val="en-GB"/>
        </w:rPr>
        <w:t xml:space="preserve"> Spacer ITS1 (average length 250 </w:t>
      </w:r>
      <w:proofErr w:type="spellStart"/>
      <w:r w:rsidRPr="004C0EF7">
        <w:rPr>
          <w:sz w:val="22"/>
          <w:lang w:val="en-GB"/>
        </w:rPr>
        <w:t>bp</w:t>
      </w:r>
      <w:proofErr w:type="spellEnd"/>
      <w:r w:rsidRPr="004C0EF7">
        <w:rPr>
          <w:sz w:val="22"/>
          <w:lang w:val="en-GB"/>
        </w:rPr>
        <w:t xml:space="preserve">). The DNA sequenced was extracted from three replicate microcosms contaminated with crude oil and </w:t>
      </w:r>
      <w:proofErr w:type="gramStart"/>
      <w:r w:rsidRPr="004C0EF7">
        <w:rPr>
          <w:sz w:val="22"/>
          <w:lang w:val="en-GB"/>
        </w:rPr>
        <w:t>three control</w:t>
      </w:r>
      <w:proofErr w:type="gramEnd"/>
      <w:r w:rsidRPr="004C0EF7">
        <w:rPr>
          <w:sz w:val="22"/>
          <w:lang w:val="en-GB"/>
        </w:rPr>
        <w:t xml:space="preserve"> replicate microcosm, assembled from </w:t>
      </w:r>
      <w:proofErr w:type="spellStart"/>
      <w:r w:rsidRPr="004C0EF7">
        <w:rPr>
          <w:sz w:val="22"/>
          <w:lang w:val="en-GB"/>
        </w:rPr>
        <w:t>Trindade</w:t>
      </w:r>
      <w:proofErr w:type="spellEnd"/>
      <w:r w:rsidRPr="004C0EF7">
        <w:rPr>
          <w:sz w:val="22"/>
          <w:lang w:val="en-GB"/>
        </w:rPr>
        <w:t xml:space="preserve"> Island coastal soil.</w:t>
      </w:r>
    </w:p>
    <w:p w:rsidR="00AC46C3" w:rsidRDefault="00AC46C3" w:rsidP="00AC46C3">
      <w:pPr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:rsidR="00AC46C3" w:rsidRPr="00F71B2A" w:rsidRDefault="00AC46C3" w:rsidP="00AC46C3">
      <w:pPr>
        <w:rPr>
          <w:noProof/>
          <w:sz w:val="22"/>
          <w:lang w:val="en-GB"/>
        </w:rPr>
      </w:pPr>
      <w:r w:rsidRPr="00F71B2A">
        <w:rPr>
          <w:noProof/>
          <w:sz w:val="22"/>
          <w:lang w:val="en-GB"/>
        </w:rPr>
        <w:lastRenderedPageBreak/>
        <w:t>Table S2 –</w:t>
      </w:r>
      <w:r>
        <w:rPr>
          <w:noProof/>
          <w:sz w:val="22"/>
          <w:lang w:val="en-GB"/>
        </w:rPr>
        <w:t xml:space="preserve"> 16s rRNA gene taxonomy</w:t>
      </w:r>
      <w:r w:rsidRPr="00F71B2A">
        <w:rPr>
          <w:noProof/>
          <w:sz w:val="22"/>
          <w:lang w:val="en-GB"/>
        </w:rPr>
        <w:t xml:space="preserve"> at the phylum level and relative abundance for each treatment (n=3).</w:t>
      </w: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414"/>
        <w:gridCol w:w="977"/>
      </w:tblGrid>
      <w:tr w:rsidR="00AC46C3" w:rsidRPr="00F71B2A" w:rsidTr="007F2817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Taxa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Contaminated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Control</w:t>
            </w:r>
            <w:proofErr w:type="spellEnd"/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Unassigned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0.005413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0.005378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Archaea;p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Crenarchaeota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0.027973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0.061058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Archaea;p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Euryarchaeota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9.56E-05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8.32E-05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Archaea;p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__[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Parvarchaeota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0.000178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4.78E-05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2.97E-05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Acidobacteria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0.152743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0.132438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Actinobacteria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0.312005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0.252267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Armatimonadetes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0.002751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0.003898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__Bacteria;p__BHI80-139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2.05E-05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4.16E-05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__Bacteria;p__BRC1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0.000475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Bacteroidetes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0.027877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0.039565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Chlamydiae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0.000624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Chlorobi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0.001527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Chloroflexi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0.026314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0.031049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Cyanobacteria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0.000945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Elusimicrobia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0.001444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__FBP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0.000172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Fibrobacteres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0.000535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0.007072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0.018047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__Bacteria;p__GAL15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7.51E-05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9.51E-05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__Bacteria;p__GN02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2.05E-05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2.97E-05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Gemmatimonadetes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0.036546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0.03821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__Bacteria;p__NKB19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1.37E-05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1.19E-05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Nitrospirae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0.01674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__Bacteria;p__OD1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0.000309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__Bacteria;p__OP11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2.05E-05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5.35E-05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__Bacteria;p__OP3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0.00016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Planctomycetes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0.037194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0.046226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Proteobacteria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0.322537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0.324432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__Bacteria;p__SBR1093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6.83E-06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1.19E-05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__Bacteria;p__TM6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0.000398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__Bacteria;p__TM7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0.001058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Verrucomicrobia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0.022095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0.02043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__Bacteria;p__WPS-2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8.19E-05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7.13E-05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__Bacteria;p__WS2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4.10E-05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6.54E-05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__Bacteria;p__WS3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0.002321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0.001872</w:t>
            </w:r>
          </w:p>
        </w:tc>
      </w:tr>
      <w:tr w:rsidR="00AC46C3" w:rsidRPr="00F71B2A" w:rsidTr="007F28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Bacteria;p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__[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Thermi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4.78E-05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7.13E-05</w:t>
            </w:r>
          </w:p>
        </w:tc>
      </w:tr>
    </w:tbl>
    <w:p w:rsidR="00AC46C3" w:rsidRDefault="00AC46C3" w:rsidP="00AC46C3">
      <w:pPr>
        <w:spacing w:after="240" w:line="360" w:lineRule="auto"/>
        <w:jc w:val="both"/>
        <w:rPr>
          <w:noProof/>
          <w:lang w:val="en-GB"/>
        </w:rPr>
      </w:pPr>
    </w:p>
    <w:p w:rsidR="00AC46C3" w:rsidRDefault="00AC46C3" w:rsidP="00AC46C3">
      <w:pPr>
        <w:rPr>
          <w:noProof/>
          <w:lang w:val="en-GB"/>
        </w:rPr>
      </w:pPr>
      <w:r>
        <w:rPr>
          <w:noProof/>
          <w:lang w:val="en-GB"/>
        </w:rPr>
        <w:br w:type="page"/>
      </w:r>
    </w:p>
    <w:p w:rsidR="00AC46C3" w:rsidRPr="00D2385B" w:rsidRDefault="00AC46C3" w:rsidP="00AC46C3">
      <w:pPr>
        <w:rPr>
          <w:noProof/>
          <w:sz w:val="22"/>
          <w:szCs w:val="22"/>
          <w:lang w:val="en-GB"/>
        </w:rPr>
      </w:pPr>
      <w:r w:rsidRPr="00D2385B">
        <w:rPr>
          <w:noProof/>
          <w:sz w:val="22"/>
          <w:szCs w:val="22"/>
          <w:lang w:val="en-GB"/>
        </w:rPr>
        <w:lastRenderedPageBreak/>
        <w:t>Table S3 – ITS taxonomy at the order level and relative abundance for each treatment (n=3).</w:t>
      </w:r>
    </w:p>
    <w:tbl>
      <w:tblPr>
        <w:tblW w:w="75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375"/>
        <w:gridCol w:w="965"/>
      </w:tblGrid>
      <w:tr w:rsidR="00AC46C3" w:rsidRPr="00F71B2A" w:rsidTr="007F2817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Taxa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Contaminated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Control</w:t>
            </w:r>
            <w:proofErr w:type="spellEnd"/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Unassigned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0.007435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0.049978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k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Fungi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0.004084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0.003028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Botryosphaeriales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0.011381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0.018988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Capnodiales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0.013653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Dothideales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0.000133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Incertae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sedis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3.04E-05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0.000289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Pleosporales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0.003779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unidentified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Chaetothyriales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0.013285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Eurotiales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0.025154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Onygenales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8.43E-05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0.001252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Incertae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sedis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4.72E-05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7.04E-05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Helotiales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0.011086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Orbiliales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0.000915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Ascomycotas;o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Saccharomycetales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Ascomycota;Other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0.000743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Chaetosphaeriales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0.000415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Diaporthales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0.000344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Hypocreales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0.243829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0.413457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Microascales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0.000102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Sordariales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0.006537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0.075445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Xylariales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0.005719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Ascomycota;o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unidentified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0.002368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0.022407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Ascomycota</w:t>
            </w:r>
            <w:r w:rsidRPr="00F71B2A">
              <w:rPr>
                <w:rFonts w:cs="Calibri"/>
                <w:color w:val="000000"/>
                <w:sz w:val="22"/>
                <w:szCs w:val="22"/>
              </w:rPr>
              <w:t>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unidentified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0.003643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0.019082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Boletales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Cantharellales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Russulales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Thelephorales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0.003076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0.02887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Trechisporales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0.000557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0.002378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Sporidiobolales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9.78E-05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0.001361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Basidiomycota;o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Filobasidiales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0.001064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Zygomycota;o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Mortierellales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0.706818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0.268278</w:t>
            </w:r>
          </w:p>
        </w:tc>
      </w:tr>
      <w:tr w:rsidR="00AC46C3" w:rsidRPr="00F71B2A" w:rsidTr="007F281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F71B2A">
              <w:rPr>
                <w:rFonts w:cs="Calibri"/>
                <w:color w:val="000000"/>
                <w:sz w:val="22"/>
                <w:szCs w:val="22"/>
              </w:rPr>
              <w:t>p</w:t>
            </w:r>
            <w:proofErr w:type="gramEnd"/>
            <w:r w:rsidRPr="00F71B2A">
              <w:rPr>
                <w:rFonts w:cs="Calibri"/>
                <w:color w:val="000000"/>
                <w:sz w:val="22"/>
                <w:szCs w:val="22"/>
              </w:rPr>
              <w:t>__</w:t>
            </w:r>
            <w:proofErr w:type="spellStart"/>
            <w:r w:rsidRPr="00F71B2A">
              <w:rPr>
                <w:rFonts w:cs="Calibri"/>
                <w:color w:val="000000"/>
                <w:sz w:val="22"/>
                <w:szCs w:val="22"/>
              </w:rPr>
              <w:t>unidentified</w:t>
            </w:r>
            <w:proofErr w:type="spellEnd"/>
            <w:r w:rsidRPr="00F71B2A">
              <w:rPr>
                <w:rFonts w:cs="Calibri"/>
                <w:color w:val="000000"/>
                <w:sz w:val="22"/>
                <w:szCs w:val="22"/>
              </w:rPr>
              <w:t>;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0.004682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6C3" w:rsidRPr="00F71B2A" w:rsidRDefault="00AC46C3" w:rsidP="007F2817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F71B2A">
              <w:rPr>
                <w:rFonts w:cs="Calibri"/>
                <w:color w:val="000000"/>
                <w:sz w:val="22"/>
                <w:szCs w:val="22"/>
              </w:rPr>
              <w:t>0.014638</w:t>
            </w:r>
          </w:p>
        </w:tc>
      </w:tr>
    </w:tbl>
    <w:p w:rsidR="00AC46C3" w:rsidRPr="004C0EF7" w:rsidRDefault="00AC46C3" w:rsidP="00AC46C3">
      <w:pPr>
        <w:spacing w:after="240" w:line="360" w:lineRule="auto"/>
        <w:jc w:val="both"/>
        <w:rPr>
          <w:lang w:val="en-GB"/>
        </w:rPr>
      </w:pPr>
      <w:r w:rsidRPr="004C0EF7">
        <w:rPr>
          <w:noProof/>
          <w:lang w:val="en-GB"/>
        </w:rPr>
        <w:fldChar w:fldCharType="begin"/>
      </w:r>
      <w:r w:rsidRPr="004C0EF7">
        <w:rPr>
          <w:lang w:val="en-GB"/>
        </w:rPr>
        <w:instrText xml:space="preserve"> ADDIN EN.REFLIST </w:instrText>
      </w:r>
      <w:r w:rsidRPr="004C0EF7">
        <w:rPr>
          <w:noProof/>
          <w:lang w:val="en-GB"/>
        </w:rPr>
        <w:fldChar w:fldCharType="end"/>
      </w:r>
    </w:p>
    <w:p w:rsidR="003D3812" w:rsidRDefault="003D3812">
      <w:bookmarkStart w:id="0" w:name="_GoBack"/>
      <w:bookmarkEnd w:id="0"/>
    </w:p>
    <w:sectPr w:rsidR="003D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C3"/>
    <w:rsid w:val="003D3812"/>
    <w:rsid w:val="00A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780EB-7479-45FC-BCC9-A9CAABD9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3387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kumazawa morais</dc:creator>
  <cp:keywords/>
  <dc:description/>
  <cp:lastModifiedBy>daniel kumazawa morais</cp:lastModifiedBy>
  <cp:revision>1</cp:revision>
  <dcterms:created xsi:type="dcterms:W3CDTF">2015-07-17T13:50:00Z</dcterms:created>
  <dcterms:modified xsi:type="dcterms:W3CDTF">2015-07-17T13:50:00Z</dcterms:modified>
</cp:coreProperties>
</file>