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ook w:val="04A0"/>
      </w:tblPr>
      <w:tblGrid>
        <w:gridCol w:w="936"/>
        <w:gridCol w:w="1030"/>
        <w:gridCol w:w="946"/>
        <w:gridCol w:w="1115"/>
        <w:gridCol w:w="1440"/>
        <w:gridCol w:w="1060"/>
        <w:gridCol w:w="1040"/>
        <w:gridCol w:w="1113"/>
        <w:gridCol w:w="1146"/>
        <w:gridCol w:w="3257"/>
      </w:tblGrid>
      <w:tr w:rsidR="00581D2E" w:rsidRPr="00FA3EA6" w:rsidTr="00581D2E">
        <w:trPr>
          <w:trHeight w:val="900"/>
        </w:trPr>
        <w:tc>
          <w:tcPr>
            <w:tcW w:w="0" w:type="auto"/>
            <w:gridSpan w:val="10"/>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Pr>
                <w:rFonts w:eastAsia="Times New Roman"/>
                <w:smallCaps/>
                <w:color w:val="000000"/>
                <w:lang w:bidi="ar-SA"/>
              </w:rPr>
              <w:t xml:space="preserve">Supplemental </w:t>
            </w:r>
            <w:r w:rsidRPr="00FA3EA6">
              <w:rPr>
                <w:rFonts w:eastAsia="Times New Roman"/>
                <w:smallCaps/>
                <w:color w:val="000000"/>
                <w:lang w:bidi="ar-SA"/>
              </w:rPr>
              <w:t>Table</w:t>
            </w:r>
            <w:r w:rsidRPr="00FA3EA6">
              <w:rPr>
                <w:rFonts w:eastAsia="Times New Roman"/>
                <w:color w:val="000000"/>
                <w:lang w:bidi="ar-SA"/>
              </w:rPr>
              <w:t xml:space="preserve"> </w:t>
            </w:r>
            <w:r>
              <w:rPr>
                <w:rFonts w:eastAsia="Times New Roman"/>
                <w:color w:val="000000"/>
                <w:lang w:bidi="ar-SA"/>
              </w:rPr>
              <w:t>1</w:t>
            </w:r>
            <w:r w:rsidRPr="00FA3EA6">
              <w:rPr>
                <w:rFonts w:eastAsia="Times New Roman"/>
                <w:color w:val="000000"/>
                <w:lang w:bidi="ar-SA"/>
              </w:rPr>
              <w:t>.  Reproductive data for female New Mexico meadow jumping mice (</w:t>
            </w:r>
            <w:r w:rsidRPr="00FA3EA6">
              <w:rPr>
                <w:rFonts w:eastAsia="Times New Roman"/>
                <w:i/>
                <w:iCs/>
                <w:color w:val="000000"/>
                <w:lang w:bidi="ar-SA"/>
              </w:rPr>
              <w:t>Zapus hudsonius luteus</w:t>
            </w:r>
            <w:r w:rsidRPr="00FA3EA6">
              <w:rPr>
                <w:rFonts w:eastAsia="Times New Roman"/>
                <w:color w:val="000000"/>
                <w:lang w:bidi="ar-SA"/>
              </w:rPr>
              <w:t xml:space="preserve">) </w:t>
            </w:r>
            <w:proofErr w:type="gramStart"/>
            <w:r w:rsidRPr="00FA3EA6">
              <w:rPr>
                <w:rFonts w:eastAsia="Times New Roman"/>
                <w:color w:val="000000"/>
                <w:lang w:bidi="ar-SA"/>
              </w:rPr>
              <w:t>that were</w:t>
            </w:r>
            <w:proofErr w:type="gramEnd"/>
            <w:r w:rsidRPr="00FA3EA6">
              <w:rPr>
                <w:rFonts w:eastAsia="Times New Roman"/>
                <w:color w:val="000000"/>
                <w:lang w:bidi="ar-SA"/>
              </w:rPr>
              <w:t xml:space="preserve"> field-evaluated to be pregnant at Bosque del Apache National Wildlife Refuge, Socorro County, New Mexico, 2009-2010 (Wright 2012, Frey and Wright 2012).   </w:t>
            </w:r>
          </w:p>
        </w:tc>
      </w:tr>
      <w:tr w:rsidR="00581D2E" w:rsidRPr="00FA3EA6" w:rsidTr="00581D2E">
        <w:trPr>
          <w:trHeight w:val="360"/>
        </w:trPr>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
        </w:tc>
        <w:tc>
          <w:tcPr>
            <w:tcW w:w="0" w:type="auto"/>
            <w:gridSpan w:val="5"/>
            <w:tcBorders>
              <w:top w:val="nil"/>
              <w:left w:val="nil"/>
              <w:bottom w:val="single" w:sz="8" w:space="0" w:color="auto"/>
              <w:right w:val="nil"/>
            </w:tcBorders>
            <w:shd w:val="clear" w:color="auto" w:fill="auto"/>
            <w:vAlign w:val="bottom"/>
            <w:hideMark/>
          </w:tcPr>
          <w:p w:rsidR="00581D2E" w:rsidRPr="00FA3EA6" w:rsidRDefault="00581D2E" w:rsidP="00581D2E">
            <w:pPr>
              <w:jc w:val="center"/>
              <w:rPr>
                <w:rFonts w:eastAsia="Times New Roman"/>
                <w:color w:val="000000"/>
                <w:lang w:bidi="ar-SA"/>
              </w:rPr>
            </w:pPr>
            <w:r w:rsidRPr="00FA3EA6">
              <w:rPr>
                <w:rFonts w:eastAsia="Times New Roman"/>
                <w:color w:val="000000"/>
                <w:lang w:bidi="ar-SA"/>
              </w:rPr>
              <w:t>Telemetry data</w:t>
            </w: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
        </w:tc>
      </w:tr>
      <w:tr w:rsidR="00581D2E" w:rsidRPr="00FA3EA6" w:rsidTr="00581D2E">
        <w:trPr>
          <w:trHeight w:val="1335"/>
        </w:trPr>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Animal number</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Date captured</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Capture weight (g)</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Enlarged mammae</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Date became inactive in underground burrow</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Days from capture to inactivity</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Days of inactivity</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Date telemetry ended</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Total days from capture to end of telemetry</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Notes</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Z3</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26-May</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19.0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 noted</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14-Jun</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19</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unlikely</w:t>
            </w:r>
          </w:p>
        </w:tc>
      </w:tr>
      <w:tr w:rsidR="00581D2E" w:rsidRPr="00FA3EA6" w:rsidTr="00581D2E">
        <w:trPr>
          <w:trHeight w:val="144"/>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Z6</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28-May</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20.0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 noted</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unlikely</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Z10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23-Jun</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23.0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 noted</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r w:rsidRPr="00FA3EA6">
              <w:rPr>
                <w:rFonts w:eastAsia="Times New Roman"/>
                <w:color w:val="000000"/>
                <w:vertAlign w:val="superscript"/>
                <w:lang w:bidi="ar-SA"/>
              </w:rPr>
              <w:t>a</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5-Jul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12</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Z20</w:t>
            </w:r>
            <w:r w:rsidRPr="00FA3EA6">
              <w:rPr>
                <w:rFonts w:eastAsia="Times New Roman"/>
                <w:color w:val="000000"/>
                <w:vertAlign w:val="superscript"/>
                <w:lang w:bidi="ar-SA"/>
              </w:rPr>
              <w:t>b</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20-Jul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19.5</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yes</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30-Jul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13</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12-Aug</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23</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Z22</w:t>
            </w:r>
            <w:r w:rsidRPr="00FA3EA6">
              <w:rPr>
                <w:rFonts w:eastAsia="Times New Roman"/>
                <w:color w:val="000000"/>
                <w:vertAlign w:val="superscript"/>
                <w:lang w:bidi="ar-SA"/>
              </w:rPr>
              <w:t>c</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20-Jul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23.5</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yes</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did not</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4-Aug</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15</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 predated by owl</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Z26</w:t>
            </w: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25 Jul; 26 Jul</w:t>
            </w:r>
          </w:p>
        </w:tc>
        <w:tc>
          <w:tcPr>
            <w:tcW w:w="0" w:type="auto"/>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25.0; 26.0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 noted</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Z27</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26-Jul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31.0</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yes</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30-Jul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4</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13</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12-Aug</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17</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w:t>
            </w:r>
          </w:p>
        </w:tc>
      </w:tr>
      <w:tr w:rsidR="00581D2E" w:rsidRPr="00FA3EA6" w:rsidTr="00581D2E">
        <w:trPr>
          <w:trHeight w:val="20"/>
        </w:trPr>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Z28</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26-Jul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28.5</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not noted</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28-Jul</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15</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12-Aug</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17</w:t>
            </w:r>
          </w:p>
        </w:tc>
        <w:tc>
          <w:tcPr>
            <w:tcW w:w="0" w:type="auto"/>
            <w:tcBorders>
              <w:top w:val="nil"/>
              <w:left w:val="nil"/>
              <w:bottom w:val="nil"/>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w:t>
            </w:r>
          </w:p>
        </w:tc>
      </w:tr>
      <w:tr w:rsidR="00581D2E" w:rsidRPr="00FA3EA6" w:rsidTr="00581D2E">
        <w:trPr>
          <w:trHeight w:val="20"/>
        </w:trPr>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Z29</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27-Jul</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24.0</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yes</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30-Jul</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3</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26</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25-Aug</w:t>
            </w:r>
          </w:p>
        </w:tc>
        <w:tc>
          <w:tcPr>
            <w:tcW w:w="0" w:type="auto"/>
            <w:tcBorders>
              <w:top w:val="nil"/>
              <w:left w:val="nil"/>
              <w:bottom w:val="single" w:sz="8" w:space="0" w:color="auto"/>
              <w:right w:val="nil"/>
            </w:tcBorders>
            <w:shd w:val="clear" w:color="auto" w:fill="auto"/>
            <w:noWrap/>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29</w:t>
            </w:r>
          </w:p>
        </w:tc>
        <w:tc>
          <w:tcPr>
            <w:tcW w:w="0" w:type="auto"/>
            <w:tcBorders>
              <w:top w:val="nil"/>
              <w:left w:val="nil"/>
              <w:bottom w:val="single" w:sz="8" w:space="0" w:color="auto"/>
              <w:right w:val="nil"/>
            </w:tcBorders>
            <w:shd w:val="clear" w:color="auto" w:fill="auto"/>
            <w:vAlign w:val="bottom"/>
            <w:hideMark/>
          </w:tcPr>
          <w:p w:rsidR="00581D2E" w:rsidRPr="00FA3EA6" w:rsidRDefault="00581D2E" w:rsidP="00DE245E">
            <w:pPr>
              <w:rPr>
                <w:rFonts w:eastAsia="Times New Roman"/>
                <w:color w:val="000000"/>
                <w:lang w:bidi="ar-SA"/>
              </w:rPr>
            </w:pPr>
            <w:r w:rsidRPr="00FA3EA6">
              <w:rPr>
                <w:rFonts w:eastAsia="Times New Roman"/>
                <w:color w:val="000000"/>
                <w:lang w:bidi="ar-SA"/>
              </w:rPr>
              <w:t>pregnancy likely; left nest to go to water on last day</w:t>
            </w:r>
          </w:p>
        </w:tc>
      </w:tr>
      <w:tr w:rsidR="00581D2E" w:rsidRPr="00FA3EA6" w:rsidTr="00581D2E">
        <w:trPr>
          <w:trHeight w:val="20"/>
        </w:trPr>
        <w:tc>
          <w:tcPr>
            <w:tcW w:w="0" w:type="auto"/>
            <w:gridSpan w:val="10"/>
            <w:tcBorders>
              <w:top w:val="single" w:sz="8" w:space="0" w:color="auto"/>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roofErr w:type="spellStart"/>
            <w:proofErr w:type="gramStart"/>
            <w:r w:rsidRPr="00FA3EA6">
              <w:rPr>
                <w:rFonts w:eastAsia="Times New Roman"/>
                <w:color w:val="000000"/>
                <w:vertAlign w:val="superscript"/>
                <w:lang w:bidi="ar-SA"/>
              </w:rPr>
              <w:lastRenderedPageBreak/>
              <w:t>a</w:t>
            </w:r>
            <w:r w:rsidRPr="00FA3EA6">
              <w:rPr>
                <w:rFonts w:eastAsia="Times New Roman"/>
                <w:color w:val="000000"/>
                <w:lang w:bidi="ar-SA"/>
              </w:rPr>
              <w:t>The</w:t>
            </w:r>
            <w:proofErr w:type="spellEnd"/>
            <w:proofErr w:type="gramEnd"/>
            <w:r w:rsidRPr="00FA3EA6">
              <w:rPr>
                <w:rFonts w:eastAsia="Times New Roman"/>
                <w:color w:val="000000"/>
                <w:lang w:bidi="ar-SA"/>
              </w:rPr>
              <w:t xml:space="preserve"> nominal battery life of the transmitters was 21 days, but the signal from this jumping mouse was lost after only 12 days.  It is possible the signal was lost because the jumping mouse went to an underground maternal burrow.</w:t>
            </w:r>
          </w:p>
        </w:tc>
      </w:tr>
      <w:tr w:rsidR="00581D2E" w:rsidRPr="00FA3EA6" w:rsidTr="00581D2E">
        <w:trPr>
          <w:trHeight w:val="20"/>
        </w:trPr>
        <w:tc>
          <w:tcPr>
            <w:tcW w:w="0" w:type="auto"/>
            <w:gridSpan w:val="10"/>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roofErr w:type="gramStart"/>
            <w:r w:rsidRPr="00FA3EA6">
              <w:rPr>
                <w:rFonts w:eastAsia="Times New Roman"/>
                <w:color w:val="000000"/>
                <w:vertAlign w:val="superscript"/>
                <w:lang w:bidi="ar-SA"/>
              </w:rPr>
              <w:t>b</w:t>
            </w:r>
            <w:r w:rsidRPr="00FA3EA6">
              <w:rPr>
                <w:rFonts w:eastAsia="Times New Roman"/>
                <w:color w:val="000000"/>
                <w:lang w:bidi="ar-SA"/>
              </w:rPr>
              <w:t>Z20</w:t>
            </w:r>
            <w:proofErr w:type="gramEnd"/>
            <w:r w:rsidRPr="00FA3EA6">
              <w:rPr>
                <w:rFonts w:eastAsia="Times New Roman"/>
                <w:color w:val="000000"/>
                <w:lang w:bidi="ar-SA"/>
              </w:rPr>
              <w:t xml:space="preserve"> was first caught on 8 July and evaluated as pregnant (19 g) with enlarged mammae, but was not fitted with a radio-collar at that time.</w:t>
            </w:r>
          </w:p>
        </w:tc>
      </w:tr>
      <w:tr w:rsidR="00581D2E" w:rsidRPr="00FA3EA6" w:rsidTr="00581D2E">
        <w:trPr>
          <w:trHeight w:val="20"/>
        </w:trPr>
        <w:tc>
          <w:tcPr>
            <w:tcW w:w="0" w:type="auto"/>
            <w:gridSpan w:val="10"/>
            <w:tcBorders>
              <w:top w:val="nil"/>
              <w:left w:val="nil"/>
              <w:bottom w:val="nil"/>
              <w:right w:val="nil"/>
            </w:tcBorders>
            <w:shd w:val="clear" w:color="auto" w:fill="auto"/>
            <w:vAlign w:val="bottom"/>
            <w:hideMark/>
          </w:tcPr>
          <w:p w:rsidR="00581D2E" w:rsidRPr="00FA3EA6" w:rsidRDefault="00581D2E" w:rsidP="00DE245E">
            <w:pPr>
              <w:rPr>
                <w:rFonts w:eastAsia="Times New Roman"/>
                <w:color w:val="000000"/>
                <w:lang w:bidi="ar-SA"/>
              </w:rPr>
            </w:pPr>
            <w:proofErr w:type="gramStart"/>
            <w:r w:rsidRPr="00FA3EA6">
              <w:rPr>
                <w:rFonts w:eastAsia="Times New Roman"/>
                <w:color w:val="000000"/>
                <w:vertAlign w:val="superscript"/>
                <w:lang w:bidi="ar-SA"/>
              </w:rPr>
              <w:t>c</w:t>
            </w:r>
            <w:r w:rsidRPr="00FA3EA6">
              <w:rPr>
                <w:rFonts w:eastAsia="Times New Roman"/>
                <w:color w:val="000000"/>
                <w:lang w:bidi="ar-SA"/>
              </w:rPr>
              <w:t>Z22</w:t>
            </w:r>
            <w:proofErr w:type="gramEnd"/>
            <w:r w:rsidRPr="00FA3EA6">
              <w:rPr>
                <w:rFonts w:eastAsia="Times New Roman"/>
                <w:color w:val="000000"/>
                <w:lang w:bidi="ar-SA"/>
              </w:rPr>
              <w:t xml:space="preserve"> was first caught on 8 July and evaluated as pregnant (22 g) with enlarged mammae, but was not fitted with a radio-collar at that time.</w:t>
            </w:r>
          </w:p>
        </w:tc>
      </w:tr>
    </w:tbl>
    <w:p w:rsidR="00581D2E" w:rsidRPr="00FA3EA6" w:rsidRDefault="00581D2E" w:rsidP="00581D2E"/>
    <w:p w:rsidR="00581D2E" w:rsidRPr="00FA3EA6" w:rsidRDefault="00581D2E" w:rsidP="00581D2E"/>
    <w:p w:rsidR="00485CE5" w:rsidRDefault="00485CE5"/>
    <w:sectPr w:rsidR="00485CE5" w:rsidSect="00581D2E">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drawingGridHorizontalSpacing w:val="110"/>
  <w:displayHorizontalDrawingGridEvery w:val="2"/>
  <w:characterSpacingControl w:val="doNotCompress"/>
  <w:compat/>
  <w:rsids>
    <w:rsidRoot w:val="00581D2E"/>
    <w:rsid w:val="00197EC5"/>
    <w:rsid w:val="00485CE5"/>
    <w:rsid w:val="00581D2E"/>
    <w:rsid w:val="00FA2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2E"/>
    <w:pPr>
      <w:spacing w:after="200" w:line="276" w:lineRule="auto"/>
    </w:pPr>
    <w:rPr>
      <w:rFonts w:asciiTheme="minorHAnsi" w:eastAsiaTheme="minorEastAsia"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1399</Characters>
  <Application>Microsoft Office Word</Application>
  <DocSecurity>0</DocSecurity>
  <Lines>31</Lines>
  <Paragraphs>14</Paragraphs>
  <ScaleCrop>false</ScaleCrop>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 Editor</dc:creator>
  <cp:lastModifiedBy>Associate Editor</cp:lastModifiedBy>
  <cp:revision>1</cp:revision>
  <dcterms:created xsi:type="dcterms:W3CDTF">2015-05-05T21:14:00Z</dcterms:created>
  <dcterms:modified xsi:type="dcterms:W3CDTF">2015-05-05T21:18:00Z</dcterms:modified>
</cp:coreProperties>
</file>