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0" w:type="dxa"/>
        <w:tblInd w:w="93" w:type="dxa"/>
        <w:tblLook w:val="04A0" w:firstRow="1" w:lastRow="0" w:firstColumn="1" w:lastColumn="0" w:noHBand="0" w:noVBand="1"/>
      </w:tblPr>
      <w:tblGrid>
        <w:gridCol w:w="2880"/>
        <w:gridCol w:w="3180"/>
        <w:gridCol w:w="7900"/>
      </w:tblGrid>
      <w:tr w:rsidR="00BD23A4" w:rsidRPr="00B4041D" w:rsidTr="005254C7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4041D">
              <w:rPr>
                <w:b/>
                <w:bCs/>
                <w:color w:val="000000"/>
                <w:sz w:val="22"/>
                <w:szCs w:val="22"/>
              </w:rPr>
              <w:t>Clade/Sub-clade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041D">
              <w:rPr>
                <w:b/>
                <w:bCs/>
                <w:color w:val="000000"/>
                <w:sz w:val="22"/>
                <w:szCs w:val="22"/>
              </w:rPr>
              <w:t>Habitat Preferences/Prevalence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4041D">
              <w:rPr>
                <w:b/>
                <w:bCs/>
                <w:color w:val="000000"/>
                <w:sz w:val="22"/>
                <w:szCs w:val="22"/>
              </w:rPr>
              <w:t>References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2001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Reimer et al., 2006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Stat, Morris &amp; Gates,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Mollusca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Baillie,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Belda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-Baillie &amp; Maruyama, 2000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Ishikura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2004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Plathyelminthes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Baillie,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Belda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-Baillie &amp; Maruyama, 2000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Manning &amp; Gates,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Sediment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Reef sand/rubbles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Coffroth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2006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Hirose et al.,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Macroalgal</w:t>
            </w:r>
            <w:proofErr w:type="spellEnd"/>
            <w:r w:rsidRPr="00B4041D">
              <w:rPr>
                <w:color w:val="000000"/>
                <w:sz w:val="22"/>
                <w:szCs w:val="22"/>
              </w:rPr>
              <w:t xml:space="preserve"> beds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Fish feces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Castro &amp; Sanchez, 2012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Coffroth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, Santos &amp;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Goulet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2001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2001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Santos, Taylor &amp;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Coffroth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2001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Mollusca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Porifera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Hunter,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&amp; Santos, 2007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Manning &amp; Gates,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Sediment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Reef rubbles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Coffroth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2006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Macroalgal</w:t>
            </w:r>
            <w:proofErr w:type="spellEnd"/>
            <w:r w:rsidRPr="00B4041D">
              <w:rPr>
                <w:color w:val="000000"/>
                <w:sz w:val="22"/>
                <w:szCs w:val="22"/>
              </w:rPr>
              <w:t xml:space="preserve"> beds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Fish feces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Castro &amp; Sanchez, 2012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Porto et al., 2008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Foraminifera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Pochon,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JaJeunesse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&amp;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Pawlowski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2004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Coffroth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&amp; Santos, 2005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2005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Sampayo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Wagner et al., 2011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Mollusca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Baillie,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Belda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-Baillie &amp; Maruyama, 2000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Ishikura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2004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Plathyelminthes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Baillie,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Belda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-Baillie &amp; Maruyama, 2000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Manning &amp; Gates, 2008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Sediment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2010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Macroalgal</w:t>
            </w:r>
            <w:proofErr w:type="spellEnd"/>
            <w:r w:rsidRPr="00B4041D">
              <w:rPr>
                <w:color w:val="000000"/>
                <w:sz w:val="22"/>
                <w:szCs w:val="22"/>
              </w:rPr>
              <w:t xml:space="preserve"> beds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Porto et al.,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Venera-Ponton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Brown et al., 2000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Correa &amp; Baker, 2009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Jones et al., </w:t>
            </w:r>
            <w:proofErr w:type="gramStart"/>
            <w:r w:rsidRPr="00B4041D">
              <w:rPr>
                <w:i/>
                <w:iCs/>
                <w:color w:val="3366FF"/>
                <w:sz w:val="22"/>
                <w:szCs w:val="22"/>
              </w:rPr>
              <w:t>2008</w:t>
            </w:r>
            <w:r w:rsidRPr="00B4041D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Mollusca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Ishikura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2004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Manning &amp; Gates,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lastRenderedPageBreak/>
              <w:t>D2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Foraminifera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2007</w:t>
            </w:r>
            <w:r w:rsidRPr="00B4041D">
              <w:rPr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Garcia-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Cuetos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, Pochon &amp;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Pawlowski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2006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Porifera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Carlos et al., 2001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&amp; Trench, 2000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LaJeunesse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2001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Carlos et al., 2001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Gou et al., 2003</w:t>
            </w:r>
            <w:r w:rsidRPr="00B4041D">
              <w:rPr>
                <w:color w:val="000000"/>
                <w:sz w:val="22"/>
                <w:szCs w:val="22"/>
              </w:rPr>
              <w:t>;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Santos, 2004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 xml:space="preserve">Foraminifera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  <w:r w:rsidRPr="00B404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Rodriguez-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Lanetty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Cha &amp; Song, 2002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F3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 xml:space="preserve">Foraminifera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 xml:space="preserve">Foraminifera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F5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 xml:space="preserve">Foraminifera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 xml:space="preserve">Foraminifera 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Cnidaria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Bo et al., 2011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van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Oppen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2005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4041D">
              <w:rPr>
                <w:color w:val="000000"/>
                <w:sz w:val="22"/>
                <w:szCs w:val="22"/>
              </w:rPr>
              <w:t>Porifera</w:t>
            </w:r>
            <w:proofErr w:type="spellEnd"/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Schoenberg &amp; </w:t>
            </w: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Loh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>, 2005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Schoenberg et al., 2008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Hill et al., 2011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Sediment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i/>
                <w:iCs/>
                <w:color w:val="3366FF"/>
                <w:sz w:val="22"/>
                <w:szCs w:val="22"/>
              </w:rPr>
            </w:pPr>
            <w:proofErr w:type="spellStart"/>
            <w:r w:rsidRPr="00B4041D">
              <w:rPr>
                <w:i/>
                <w:iCs/>
                <w:color w:val="3366FF"/>
                <w:sz w:val="22"/>
                <w:szCs w:val="22"/>
              </w:rPr>
              <w:t>Takabayashi</w:t>
            </w:r>
            <w:proofErr w:type="spellEnd"/>
            <w:r w:rsidRPr="00B4041D">
              <w:rPr>
                <w:i/>
                <w:iCs/>
                <w:color w:val="3366FF"/>
                <w:sz w:val="22"/>
                <w:szCs w:val="22"/>
              </w:rPr>
              <w:t xml:space="preserve"> et al.,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Fish feces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Castro &amp; Sanchez, 2012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Foraminifera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et al., 2001, 2006, 2007</w:t>
            </w:r>
            <w:r w:rsidRPr="00B4041D">
              <w:rPr>
                <w:color w:val="000000"/>
                <w:sz w:val="22"/>
                <w:szCs w:val="22"/>
              </w:rPr>
              <w:t xml:space="preserve">; </w:t>
            </w: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  <w:tr w:rsidR="00BD23A4" w:rsidRPr="00B4041D" w:rsidTr="005254C7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Water column</w:t>
            </w:r>
          </w:p>
        </w:tc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Manning &amp; Gates, 2008</w:t>
            </w:r>
          </w:p>
        </w:tc>
      </w:tr>
      <w:tr w:rsidR="00BD23A4" w:rsidRPr="00B4041D" w:rsidTr="005254C7">
        <w:trPr>
          <w:trHeight w:val="320"/>
        </w:trPr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color w:val="000000"/>
                <w:sz w:val="22"/>
                <w:szCs w:val="22"/>
              </w:rPr>
              <w:t>Foraminifera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23A4" w:rsidRPr="00B4041D" w:rsidRDefault="00BD23A4" w:rsidP="005254C7">
            <w:pPr>
              <w:rPr>
                <w:color w:val="000000"/>
                <w:sz w:val="22"/>
                <w:szCs w:val="22"/>
              </w:rPr>
            </w:pPr>
            <w:r w:rsidRPr="00B4041D">
              <w:rPr>
                <w:i/>
                <w:iCs/>
                <w:color w:val="3366FF"/>
                <w:sz w:val="22"/>
                <w:szCs w:val="22"/>
              </w:rPr>
              <w:t>Pochon &amp; Gates, 2010</w:t>
            </w:r>
          </w:p>
        </w:tc>
      </w:tr>
    </w:tbl>
    <w:p w:rsidR="00C70422" w:rsidRDefault="000674A6"/>
    <w:sectPr w:rsidR="00C70422" w:rsidSect="00BD23A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A4"/>
    <w:rsid w:val="000674A6"/>
    <w:rsid w:val="00B0435E"/>
    <w:rsid w:val="00BD23A4"/>
    <w:rsid w:val="00C06322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A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BB9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A4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5BB9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Macintosh Word</Application>
  <DocSecurity>0</DocSecurity>
  <Lines>20</Lines>
  <Paragraphs>5</Paragraphs>
  <ScaleCrop>false</ScaleCrop>
  <Company>HIMB, University of Hawaii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Pochon</dc:creator>
  <cp:keywords/>
  <dc:description/>
  <cp:lastModifiedBy>Xavier Pochon</cp:lastModifiedBy>
  <cp:revision>2</cp:revision>
  <dcterms:created xsi:type="dcterms:W3CDTF">2014-02-15T22:52:00Z</dcterms:created>
  <dcterms:modified xsi:type="dcterms:W3CDTF">2014-02-15T22:52:00Z</dcterms:modified>
</cp:coreProperties>
</file>