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43" w:rsidRPr="0008330F" w:rsidRDefault="004F7E43" w:rsidP="00BD71DD">
      <w:pPr>
        <w:spacing w:line="480" w:lineRule="auto"/>
      </w:pPr>
      <w:r w:rsidRPr="0008330F">
        <w:t>Title</w:t>
      </w:r>
    </w:p>
    <w:p w:rsidR="004F7E43" w:rsidRPr="006C008D" w:rsidRDefault="004F7E43" w:rsidP="00BD71DD">
      <w:pPr>
        <w:spacing w:line="480" w:lineRule="auto"/>
        <w:rPr>
          <w:b/>
          <w:sz w:val="32"/>
          <w:szCs w:val="32"/>
        </w:rPr>
      </w:pPr>
      <w:r>
        <w:rPr>
          <w:b/>
          <w:sz w:val="32"/>
          <w:szCs w:val="32"/>
        </w:rPr>
        <w:t>Pseudo a</w:t>
      </w:r>
      <w:r w:rsidR="00B26558">
        <w:rPr>
          <w:b/>
          <w:sz w:val="32"/>
          <w:szCs w:val="32"/>
        </w:rPr>
        <w:t>mino acid composition improves a</w:t>
      </w:r>
      <w:r>
        <w:rPr>
          <w:b/>
          <w:sz w:val="32"/>
          <w:szCs w:val="32"/>
        </w:rPr>
        <w:t>ntifreeze protein prediction</w:t>
      </w:r>
    </w:p>
    <w:p w:rsidR="004F7E43" w:rsidRPr="0008330F" w:rsidRDefault="00995993" w:rsidP="00BD71DD">
      <w:pPr>
        <w:spacing w:line="480" w:lineRule="auto"/>
        <w:rPr>
          <w:rFonts w:eastAsia="Times New Roman"/>
          <w:bCs/>
          <w:kern w:val="36"/>
          <w:lang w:val="en-IN" w:eastAsia="en-IN"/>
        </w:rPr>
      </w:pPr>
      <w:proofErr w:type="spellStart"/>
      <w:r w:rsidRPr="0008330F">
        <w:rPr>
          <w:rFonts w:eastAsia="Times New Roman"/>
          <w:bCs/>
          <w:kern w:val="36"/>
          <w:lang w:val="en-IN" w:eastAsia="en-IN"/>
        </w:rPr>
        <w:t>Sukanta</w:t>
      </w:r>
      <w:proofErr w:type="spellEnd"/>
      <w:r w:rsidRPr="0008330F">
        <w:rPr>
          <w:rFonts w:eastAsia="Times New Roman"/>
          <w:bCs/>
          <w:kern w:val="36"/>
          <w:lang w:val="en-IN" w:eastAsia="en-IN"/>
        </w:rPr>
        <w:t xml:space="preserve"> </w:t>
      </w:r>
      <w:proofErr w:type="spellStart"/>
      <w:r w:rsidRPr="0008330F">
        <w:rPr>
          <w:rFonts w:eastAsia="Times New Roman"/>
          <w:bCs/>
          <w:kern w:val="36"/>
          <w:lang w:val="en-IN" w:eastAsia="en-IN"/>
        </w:rPr>
        <w:t>Mondal</w:t>
      </w:r>
      <w:proofErr w:type="spellEnd"/>
      <w:r w:rsidRPr="0008330F">
        <w:rPr>
          <w:rFonts w:eastAsia="Times New Roman"/>
          <w:bCs/>
          <w:kern w:val="36"/>
          <w:vertAlign w:val="superscript"/>
          <w:lang w:val="en-IN" w:eastAsia="en-IN"/>
        </w:rPr>
        <w:t>*</w:t>
      </w:r>
      <w:r w:rsidRPr="0008330F">
        <w:rPr>
          <w:rFonts w:eastAsia="Times New Roman"/>
          <w:bCs/>
          <w:kern w:val="36"/>
          <w:lang w:val="en-IN" w:eastAsia="en-IN"/>
        </w:rPr>
        <w:t xml:space="preserve"> </w:t>
      </w:r>
      <w:r>
        <w:rPr>
          <w:rFonts w:eastAsia="Times New Roman"/>
          <w:bCs/>
          <w:kern w:val="36"/>
          <w:lang w:val="en-IN" w:eastAsia="en-IN"/>
        </w:rPr>
        <w:t xml:space="preserve">and </w:t>
      </w:r>
      <w:proofErr w:type="spellStart"/>
      <w:r>
        <w:rPr>
          <w:rFonts w:eastAsia="Times New Roman"/>
          <w:bCs/>
          <w:kern w:val="36"/>
          <w:lang w:val="en-IN" w:eastAsia="en-IN"/>
        </w:rPr>
        <w:t>Priyadarshini</w:t>
      </w:r>
      <w:proofErr w:type="spellEnd"/>
      <w:r>
        <w:rPr>
          <w:rFonts w:eastAsia="Times New Roman"/>
          <w:bCs/>
          <w:kern w:val="36"/>
          <w:lang w:val="en-IN" w:eastAsia="en-IN"/>
        </w:rPr>
        <w:t xml:space="preserve"> P. </w:t>
      </w:r>
      <w:proofErr w:type="spellStart"/>
      <w:r>
        <w:rPr>
          <w:rFonts w:eastAsia="Times New Roman"/>
          <w:bCs/>
          <w:kern w:val="36"/>
          <w:lang w:val="en-IN" w:eastAsia="en-IN"/>
        </w:rPr>
        <w:t>Pai</w:t>
      </w:r>
      <w:proofErr w:type="spellEnd"/>
    </w:p>
    <w:p w:rsidR="004F7E43" w:rsidRPr="0008330F" w:rsidRDefault="004F7E43" w:rsidP="00BD71DD">
      <w:pPr>
        <w:spacing w:line="480" w:lineRule="auto"/>
        <w:rPr>
          <w:rFonts w:eastAsia="Times New Roman"/>
          <w:bCs/>
          <w:kern w:val="36"/>
          <w:lang w:val="en-IN" w:eastAsia="en-IN"/>
        </w:rPr>
      </w:pPr>
    </w:p>
    <w:p w:rsidR="004F7E43" w:rsidRPr="0008330F" w:rsidRDefault="004F7E43" w:rsidP="00BD71DD">
      <w:pPr>
        <w:spacing w:line="480" w:lineRule="auto"/>
      </w:pPr>
      <w:r w:rsidRPr="0008330F">
        <w:t>Department of Biological Sciences, Birla Institute of Technology and Science–</w:t>
      </w:r>
      <w:proofErr w:type="spellStart"/>
      <w:r w:rsidRPr="0008330F">
        <w:t>Pilani</w:t>
      </w:r>
      <w:proofErr w:type="spellEnd"/>
      <w:r w:rsidRPr="0008330F">
        <w:t xml:space="preserve">, K.K. Birla Goa Campus, </w:t>
      </w:r>
      <w:proofErr w:type="spellStart"/>
      <w:r w:rsidRPr="0008330F">
        <w:t>Zuarinagar</w:t>
      </w:r>
      <w:proofErr w:type="spellEnd"/>
      <w:r w:rsidRPr="0008330F">
        <w:t>, Goa 403 726, India</w:t>
      </w:r>
    </w:p>
    <w:p w:rsidR="004F7E43" w:rsidRPr="0008330F" w:rsidRDefault="004F7E43" w:rsidP="00BD71DD">
      <w:pPr>
        <w:spacing w:line="480" w:lineRule="auto"/>
      </w:pPr>
    </w:p>
    <w:p w:rsidR="004F7E43" w:rsidRPr="0008330F" w:rsidRDefault="004F7E43" w:rsidP="00BD71DD">
      <w:pPr>
        <w:spacing w:line="480" w:lineRule="auto"/>
      </w:pPr>
      <w:r w:rsidRPr="0008330F">
        <w:rPr>
          <w:vertAlign w:val="superscript"/>
        </w:rPr>
        <w:t>*</w:t>
      </w:r>
      <w:r w:rsidRPr="0008330F">
        <w:t xml:space="preserve">Corresponding author </w:t>
      </w:r>
    </w:p>
    <w:p w:rsidR="004F7E43" w:rsidRPr="0008330F" w:rsidRDefault="004F7E43" w:rsidP="00BD71DD">
      <w:pPr>
        <w:spacing w:line="480" w:lineRule="auto"/>
      </w:pPr>
      <w:r w:rsidRPr="0008330F">
        <w:t xml:space="preserve"> Tel: +91-832-258-0149</w:t>
      </w:r>
    </w:p>
    <w:p w:rsidR="004F7E43" w:rsidRPr="0008330F" w:rsidRDefault="004F7E43" w:rsidP="00BD71DD">
      <w:pPr>
        <w:spacing w:line="480" w:lineRule="auto"/>
      </w:pPr>
      <w:r w:rsidRPr="0008330F">
        <w:t xml:space="preserve"> Fax: +91-832-255-7031</w:t>
      </w:r>
    </w:p>
    <w:p w:rsidR="004F7E43" w:rsidRPr="0008330F" w:rsidRDefault="004F7E43" w:rsidP="00BD71DD">
      <w:pPr>
        <w:spacing w:line="480" w:lineRule="auto"/>
      </w:pPr>
      <w:r w:rsidRPr="0008330F">
        <w:t xml:space="preserve"> Email: suku@goa.bits-pilani.ac.in; sukanta.mondal@gmail.com</w:t>
      </w:r>
    </w:p>
    <w:p w:rsidR="004F7E43" w:rsidRDefault="004F7E43" w:rsidP="00BD71DD">
      <w:pPr>
        <w:spacing w:line="480" w:lineRule="auto"/>
      </w:pPr>
    </w:p>
    <w:p w:rsidR="004F7E43" w:rsidRDefault="004F7E43" w:rsidP="00BD71DD">
      <w:pPr>
        <w:spacing w:line="480" w:lineRule="auto"/>
        <w:rPr>
          <w:b/>
          <w:sz w:val="28"/>
          <w:szCs w:val="28"/>
        </w:rPr>
      </w:pPr>
    </w:p>
    <w:p w:rsidR="004F7E43" w:rsidRDefault="004F7E43" w:rsidP="00BD71DD">
      <w:pPr>
        <w:spacing w:line="480" w:lineRule="auto"/>
        <w:rPr>
          <w:b/>
          <w:sz w:val="28"/>
          <w:szCs w:val="28"/>
        </w:rPr>
      </w:pPr>
    </w:p>
    <w:p w:rsidR="004F7E43" w:rsidRDefault="004F7E43" w:rsidP="00BD71DD">
      <w:pPr>
        <w:spacing w:line="480" w:lineRule="auto"/>
        <w:rPr>
          <w:b/>
          <w:sz w:val="28"/>
          <w:szCs w:val="28"/>
        </w:rPr>
      </w:pPr>
    </w:p>
    <w:p w:rsidR="00607C22" w:rsidRDefault="00607C22" w:rsidP="00BD71DD">
      <w:pPr>
        <w:spacing w:line="480" w:lineRule="auto"/>
        <w:outlineLvl w:val="0"/>
        <w:rPr>
          <w:b/>
        </w:rPr>
      </w:pPr>
    </w:p>
    <w:p w:rsidR="00EB1171" w:rsidRPr="00EB1171" w:rsidRDefault="004F7E43" w:rsidP="00BD71DD">
      <w:pPr>
        <w:spacing w:line="480" w:lineRule="auto"/>
        <w:outlineLvl w:val="0"/>
        <w:rPr>
          <w:b/>
        </w:rPr>
      </w:pPr>
      <w:r>
        <w:rPr>
          <w:b/>
        </w:rPr>
        <w:lastRenderedPageBreak/>
        <w:t>A</w:t>
      </w:r>
      <w:r w:rsidR="00EB1171" w:rsidRPr="00EB1171">
        <w:rPr>
          <w:b/>
        </w:rPr>
        <w:t>bstract</w:t>
      </w:r>
    </w:p>
    <w:p w:rsidR="00EB1171" w:rsidRDefault="00EB1171" w:rsidP="00BD71DD">
      <w:pPr>
        <w:spacing w:line="480" w:lineRule="auto"/>
      </w:pPr>
      <w:r w:rsidRPr="001B30C2">
        <w:t>Antifreeze proteins (AFP) in living organisms play a key role in their tolerance to extremely cold temperatures and have wide range of biotechnological applicatio</w:t>
      </w:r>
      <w:r w:rsidR="0075776D">
        <w:t>ns. But on account of diversity</w:t>
      </w:r>
      <w:r w:rsidRPr="001B30C2">
        <w:t xml:space="preserve">, their identification has been challenging to biologists. </w:t>
      </w:r>
      <w:r w:rsidR="00A36B57">
        <w:t xml:space="preserve">Earlier work explored in this area did not cover introduction of sequence order information, known to </w:t>
      </w:r>
      <w:r w:rsidR="000124EA">
        <w:t>represent important properties</w:t>
      </w:r>
      <w:r w:rsidR="00A36B57">
        <w:t xml:space="preserve"> of various proteins and protein systems</w:t>
      </w:r>
      <w:r w:rsidR="00F158E2">
        <w:t xml:space="preserve"> for </w:t>
      </w:r>
      <w:r w:rsidR="00576D86">
        <w:t xml:space="preserve">prediction of </w:t>
      </w:r>
      <w:r w:rsidR="00F158E2">
        <w:t>their attributes</w:t>
      </w:r>
      <w:r w:rsidR="00A36B57">
        <w:t xml:space="preserve">. </w:t>
      </w:r>
      <w:r w:rsidRPr="001B30C2">
        <w:t>In this study, the effect of Chou's pseudo</w:t>
      </w:r>
      <w:r w:rsidR="00B00B2C">
        <w:t xml:space="preserve"> amino acid composition</w:t>
      </w:r>
      <w:r w:rsidR="00A36B57">
        <w:t xml:space="preserve"> that presents sequen</w:t>
      </w:r>
      <w:r w:rsidR="00345793">
        <w:t>ce order of proteins</w:t>
      </w:r>
      <w:r w:rsidRPr="001B30C2">
        <w:t xml:space="preserve"> was </w:t>
      </w:r>
      <w:r>
        <w:t xml:space="preserve">systematically </w:t>
      </w:r>
      <w:r w:rsidRPr="001B30C2">
        <w:t xml:space="preserve">explored using </w:t>
      </w:r>
      <w:r w:rsidR="00030328">
        <w:t>support vector machines</w:t>
      </w:r>
      <w:r w:rsidR="00A36B57">
        <w:t xml:space="preserve"> for AFP prediction</w:t>
      </w:r>
      <w:r w:rsidR="00345793">
        <w:t>. Our findings suggest that</w:t>
      </w:r>
      <w:r w:rsidRPr="001B30C2">
        <w:t xml:space="preserve"> introduction of sequence order information </w:t>
      </w:r>
      <w:r w:rsidR="00A36B57">
        <w:t>helps identify AFPs with</w:t>
      </w:r>
      <w:r>
        <w:t xml:space="preserve"> an accuracy of 84.75% o</w:t>
      </w:r>
      <w:r w:rsidR="00A36B57">
        <w:t>n independent test dataset</w:t>
      </w:r>
      <w:r w:rsidR="00C945EE">
        <w:t>, outperforming approaches such as AFP-</w:t>
      </w:r>
      <w:proofErr w:type="spellStart"/>
      <w:r w:rsidR="00C945EE">
        <w:t>Pred</w:t>
      </w:r>
      <w:proofErr w:type="spellEnd"/>
      <w:r w:rsidR="00C945EE">
        <w:t xml:space="preserve"> and </w:t>
      </w:r>
      <w:proofErr w:type="spellStart"/>
      <w:r w:rsidR="00C945EE">
        <w:t>iAFP</w:t>
      </w:r>
      <w:proofErr w:type="spellEnd"/>
      <w:r w:rsidR="00777B66">
        <w:t>.</w:t>
      </w:r>
      <w:r w:rsidR="00576D86">
        <w:t xml:space="preserve"> The relative performance</w:t>
      </w:r>
      <w:r w:rsidR="00777B66">
        <w:t xml:space="preserve"> </w:t>
      </w:r>
      <w:r w:rsidR="00576D86">
        <w:t xml:space="preserve">calculated using </w:t>
      </w:r>
      <w:proofErr w:type="spellStart"/>
      <w:r w:rsidR="00576D86">
        <w:t>Youden’s</w:t>
      </w:r>
      <w:proofErr w:type="spellEnd"/>
      <w:r w:rsidR="00576D86">
        <w:t xml:space="preserve"> Index</w:t>
      </w:r>
      <w:r w:rsidR="00777B66">
        <w:t xml:space="preserve"> (Sensitivity + Specificity -1)</w:t>
      </w:r>
      <w:r w:rsidR="00576D86">
        <w:t xml:space="preserve"> was found to </w:t>
      </w:r>
      <w:r w:rsidR="007A6EB7">
        <w:t>be 0.71 for our predictor (AFP-</w:t>
      </w:r>
      <w:proofErr w:type="spellStart"/>
      <w:r w:rsidR="00576D86">
        <w:t>PseAAC</w:t>
      </w:r>
      <w:proofErr w:type="spellEnd"/>
      <w:r w:rsidR="00576D86">
        <w:t>), 0.48 for AFP-</w:t>
      </w:r>
      <w:proofErr w:type="spellStart"/>
      <w:r w:rsidR="00576D86">
        <w:t>Pred</w:t>
      </w:r>
      <w:proofErr w:type="spellEnd"/>
      <w:r w:rsidR="00576D86">
        <w:t xml:space="preserve"> and 0.05 for </w:t>
      </w:r>
      <w:proofErr w:type="spellStart"/>
      <w:r w:rsidR="00576D86">
        <w:t>iAFP</w:t>
      </w:r>
      <w:proofErr w:type="spellEnd"/>
      <w:r w:rsidR="00576D86">
        <w:t>.</w:t>
      </w:r>
      <w:r w:rsidR="00A36B57">
        <w:t xml:space="preserve"> We hope</w:t>
      </w:r>
      <w:r w:rsidR="00777B66">
        <w:t xml:space="preserve"> this novel prediction approach</w:t>
      </w:r>
      <w:r w:rsidR="00A36B57" w:rsidRPr="000124EA">
        <w:t xml:space="preserve"> </w:t>
      </w:r>
      <w:r w:rsidR="00A36B57">
        <w:t xml:space="preserve">will </w:t>
      </w:r>
      <w:r>
        <w:t xml:space="preserve">aid in AFP based </w:t>
      </w:r>
      <w:r w:rsidR="00A36B57">
        <w:t>research for biotechnological applications</w:t>
      </w:r>
      <w:r>
        <w:t>.</w:t>
      </w:r>
    </w:p>
    <w:p w:rsidR="0024574B" w:rsidRDefault="0024574B" w:rsidP="00BD71DD">
      <w:pPr>
        <w:spacing w:line="480" w:lineRule="auto"/>
        <w:outlineLvl w:val="0"/>
        <w:rPr>
          <w:b/>
        </w:rPr>
      </w:pPr>
    </w:p>
    <w:p w:rsidR="00EB1171" w:rsidRPr="00EB1171" w:rsidRDefault="00EB1171" w:rsidP="00BD71DD">
      <w:pPr>
        <w:spacing w:line="480" w:lineRule="auto"/>
        <w:outlineLvl w:val="0"/>
        <w:rPr>
          <w:b/>
        </w:rPr>
      </w:pPr>
      <w:r w:rsidRPr="00EB1171">
        <w:rPr>
          <w:b/>
        </w:rPr>
        <w:t>Keywords:</w:t>
      </w:r>
    </w:p>
    <w:p w:rsidR="00EB1171" w:rsidRDefault="00EB1171" w:rsidP="00BD71DD">
      <w:pPr>
        <w:spacing w:line="480" w:lineRule="auto"/>
      </w:pPr>
      <w:r>
        <w:t xml:space="preserve">Convergent evolution; Support Vector Machines; Sequence order effect; Pseudo amino acid composition; </w:t>
      </w:r>
      <w:r w:rsidRPr="00387C64">
        <w:t>Ten</w:t>
      </w:r>
      <w:r>
        <w:t>-</w:t>
      </w:r>
      <w:r w:rsidRPr="00387C64">
        <w:t>fold cross-validation</w:t>
      </w:r>
      <w:r w:rsidR="007408DD">
        <w:t>.</w:t>
      </w:r>
    </w:p>
    <w:p w:rsidR="00EB1171" w:rsidRDefault="00EB1171" w:rsidP="00BD71DD">
      <w:pPr>
        <w:spacing w:line="480" w:lineRule="auto"/>
      </w:pPr>
    </w:p>
    <w:p w:rsidR="00B068DC" w:rsidRDefault="00B068DC" w:rsidP="00BD71DD">
      <w:pPr>
        <w:spacing w:line="480" w:lineRule="auto"/>
      </w:pPr>
    </w:p>
    <w:p w:rsidR="00B068DC" w:rsidRDefault="00B068DC" w:rsidP="00BD71DD">
      <w:pPr>
        <w:spacing w:line="480" w:lineRule="auto"/>
      </w:pPr>
    </w:p>
    <w:p w:rsidR="00EB1171" w:rsidRPr="007341D5" w:rsidRDefault="00EB1171" w:rsidP="00BD71DD">
      <w:pPr>
        <w:pStyle w:val="ListParagraph"/>
        <w:numPr>
          <w:ilvl w:val="0"/>
          <w:numId w:val="1"/>
        </w:numPr>
        <w:spacing w:line="480" w:lineRule="auto"/>
      </w:pPr>
      <w:r w:rsidRPr="007341D5">
        <w:rPr>
          <w:b/>
        </w:rPr>
        <w:lastRenderedPageBreak/>
        <w:t>Introduction</w:t>
      </w:r>
    </w:p>
    <w:p w:rsidR="00EB1171" w:rsidRPr="007341D5" w:rsidRDefault="00EB1171" w:rsidP="00BD71DD">
      <w:pPr>
        <w:pStyle w:val="ListParagraph"/>
        <w:spacing w:line="480" w:lineRule="auto"/>
        <w:ind w:left="0"/>
      </w:pPr>
      <w:r w:rsidRPr="007341D5">
        <w:t xml:space="preserve">Antifreeze proteins (AFPs), also known as ice-structuring proteins, are a diverse group of polypeptides found in animals, plants, microbes, especially in fish inhabitants of ice-laden sea water, which provide protection from freezing in extremely cold environments [1]. This defense is imparted to the organisms at cellular levels as AFPs have a unique ability to </w:t>
      </w:r>
      <w:proofErr w:type="spellStart"/>
      <w:r w:rsidRPr="007341D5">
        <w:t>adsorb</w:t>
      </w:r>
      <w:proofErr w:type="spellEnd"/>
      <w:r w:rsidRPr="007341D5">
        <w:t xml:space="preserve"> onto the surface of ice [2]. Depending upon the surrounding, organisms adopt two strategies namely freeze tolerance and freeze avoidance to survive at low and subzero temperatures [3</w:t>
      </w:r>
      <w:r w:rsidR="00B068DC" w:rsidRPr="007341D5">
        <w:t>, 4</w:t>
      </w:r>
      <w:r w:rsidRPr="007341D5">
        <w:t xml:space="preserve">], which may account for the diversity observed among various species. </w:t>
      </w:r>
    </w:p>
    <w:p w:rsidR="00B068DC" w:rsidRPr="007341D5" w:rsidRDefault="00B068DC" w:rsidP="00BD71DD">
      <w:pPr>
        <w:pStyle w:val="ListParagraph"/>
        <w:spacing w:line="480" w:lineRule="auto"/>
        <w:ind w:left="0"/>
      </w:pPr>
    </w:p>
    <w:p w:rsidR="00EB1171" w:rsidRPr="007341D5" w:rsidRDefault="00EB1171" w:rsidP="00BD71DD">
      <w:pPr>
        <w:pStyle w:val="ListParagraph"/>
        <w:spacing w:line="480" w:lineRule="auto"/>
        <w:ind w:left="0"/>
      </w:pPr>
      <w:r w:rsidRPr="007341D5">
        <w:t xml:space="preserve">Analyses of AFPs from fish, insects and plants have shown that there is no consensus sequence or structure for an ice-binding domain. Such an insight, at sequence or structural level, is important for understanding protein-ice interactions and freeze tolerance mechanisms of AFPs. Since these proteins hold a promising scope for wide range of biotechnological applications in industry, medicine, food technology, cell lines and organ preservation, cryosurgery and </w:t>
      </w:r>
      <w:proofErr w:type="spellStart"/>
      <w:r w:rsidRPr="007341D5">
        <w:t>transgenics</w:t>
      </w:r>
      <w:proofErr w:type="spellEnd"/>
      <w:r w:rsidRPr="007341D5">
        <w:t>, gaining knowledge into their functional mechanisms has become increasingly essential</w:t>
      </w:r>
      <w:r w:rsidR="00B068DC" w:rsidRPr="007341D5">
        <w:t xml:space="preserve"> [5]</w:t>
      </w:r>
      <w:r w:rsidRPr="007341D5">
        <w:t>.</w:t>
      </w:r>
    </w:p>
    <w:p w:rsidR="00B068DC" w:rsidRPr="007341D5" w:rsidRDefault="00B068DC" w:rsidP="00BD71DD">
      <w:pPr>
        <w:pStyle w:val="ListParagraph"/>
        <w:spacing w:line="480" w:lineRule="auto"/>
        <w:ind w:left="0"/>
      </w:pPr>
    </w:p>
    <w:p w:rsidR="00686CC0" w:rsidRPr="007341D5" w:rsidRDefault="009878FE" w:rsidP="00BD71DD">
      <w:pPr>
        <w:pStyle w:val="ListParagraph"/>
        <w:spacing w:line="480" w:lineRule="auto"/>
        <w:ind w:left="0"/>
      </w:pPr>
      <w:r w:rsidRPr="007341D5">
        <w:t>With the enormous amount of genomic data available today, a rapid, specific and highly precise automated approach is desirable for identification and annotations of AFPs. Researchers, encouraged by the overwhelming success of machine learning methods in protein classification and function prediction [</w:t>
      </w:r>
      <w:r w:rsidR="00FA486B" w:rsidRPr="007341D5">
        <w:t>5-14</w:t>
      </w:r>
      <w:r w:rsidRPr="007341D5">
        <w:t>], develop</w:t>
      </w:r>
      <w:r w:rsidR="00CD00AA" w:rsidRPr="007341D5">
        <w:t>ed</w:t>
      </w:r>
      <w:r w:rsidRPr="007341D5">
        <w:t xml:space="preserve"> sequence based solutions such as AFP-</w:t>
      </w:r>
      <w:proofErr w:type="spellStart"/>
      <w:r w:rsidRPr="007341D5">
        <w:t>Pred</w:t>
      </w:r>
      <w:proofErr w:type="spellEnd"/>
      <w:r w:rsidRPr="007341D5">
        <w:t xml:space="preserve"> [5]</w:t>
      </w:r>
      <w:r w:rsidR="00FA486B" w:rsidRPr="007341D5">
        <w:t>,</w:t>
      </w:r>
      <w:r w:rsidRPr="007341D5">
        <w:t xml:space="preserve"> AFP_PSSM [13]</w:t>
      </w:r>
      <w:r w:rsidR="00FA486B" w:rsidRPr="007341D5">
        <w:t xml:space="preserve"> and </w:t>
      </w:r>
      <w:proofErr w:type="spellStart"/>
      <w:r w:rsidR="00FA486B" w:rsidRPr="007341D5">
        <w:t>iAFP</w:t>
      </w:r>
      <w:proofErr w:type="spellEnd"/>
      <w:r w:rsidR="00FA486B" w:rsidRPr="007341D5">
        <w:t xml:space="preserve"> approach [14]. </w:t>
      </w:r>
      <w:r w:rsidRPr="007341D5">
        <w:t>These methods explored physicochemical properties</w:t>
      </w:r>
      <w:r w:rsidR="00FA486B" w:rsidRPr="007341D5">
        <w:t xml:space="preserve"> [5]</w:t>
      </w:r>
      <w:r w:rsidRPr="007341D5">
        <w:t xml:space="preserve">, evolutionary information </w:t>
      </w:r>
      <w:r w:rsidR="00FA486B" w:rsidRPr="007341D5">
        <w:t>[13]</w:t>
      </w:r>
      <w:r w:rsidR="00CB67C4" w:rsidRPr="007341D5">
        <w:t>, n-peptide composition</w:t>
      </w:r>
      <w:r w:rsidR="00FA486B" w:rsidRPr="007341D5">
        <w:t xml:space="preserve"> </w:t>
      </w:r>
      <w:r w:rsidRPr="007341D5">
        <w:t xml:space="preserve">and </w:t>
      </w:r>
      <w:r w:rsidR="00CB67C4" w:rsidRPr="007341D5">
        <w:t>feature based coding schemes</w:t>
      </w:r>
      <w:r w:rsidR="00CA41CE" w:rsidRPr="007341D5">
        <w:t xml:space="preserve"> </w:t>
      </w:r>
      <w:r w:rsidR="00FA486B" w:rsidRPr="007341D5">
        <w:t>[14]</w:t>
      </w:r>
      <w:r w:rsidRPr="007341D5">
        <w:t xml:space="preserve"> </w:t>
      </w:r>
      <w:r w:rsidRPr="007341D5">
        <w:lastRenderedPageBreak/>
        <w:t>for prediction</w:t>
      </w:r>
      <w:r w:rsidR="00FA486B" w:rsidRPr="007341D5">
        <w:t>.</w:t>
      </w:r>
      <w:r w:rsidR="00BB4951" w:rsidRPr="007341D5">
        <w:t xml:space="preserve"> However, the scope for truly reflecting the intrinsic correlation of </w:t>
      </w:r>
      <w:r w:rsidR="00D65B3A" w:rsidRPr="007341D5">
        <w:t xml:space="preserve">sequence </w:t>
      </w:r>
      <w:r w:rsidR="00BB4951" w:rsidRPr="007341D5">
        <w:t xml:space="preserve">representatives </w:t>
      </w:r>
      <w:r w:rsidR="00CB67C4" w:rsidRPr="007341D5">
        <w:t>with</w:t>
      </w:r>
      <w:r w:rsidR="00BB4951" w:rsidRPr="007341D5">
        <w:t xml:space="preserve"> the object to be predicted</w:t>
      </w:r>
      <w:r w:rsidR="00CB67C4" w:rsidRPr="007341D5">
        <w:t xml:space="preserve"> by machine </w:t>
      </w:r>
      <w:r w:rsidR="000C13AE" w:rsidRPr="007341D5">
        <w:t>learning</w:t>
      </w:r>
      <w:r w:rsidR="00BB4951" w:rsidRPr="007341D5">
        <w:t xml:space="preserve"> remained. </w:t>
      </w:r>
    </w:p>
    <w:p w:rsidR="00CA41CE" w:rsidRPr="007341D5" w:rsidRDefault="00CA41CE" w:rsidP="00BD71DD">
      <w:pPr>
        <w:pStyle w:val="ListParagraph"/>
        <w:spacing w:line="480" w:lineRule="auto"/>
        <w:ind w:left="0"/>
      </w:pPr>
    </w:p>
    <w:p w:rsidR="00686CC0" w:rsidRPr="007341D5" w:rsidRDefault="00CB67C4" w:rsidP="00BD71DD">
      <w:pPr>
        <w:pStyle w:val="ListParagraph"/>
        <w:spacing w:line="480" w:lineRule="auto"/>
        <w:ind w:left="0"/>
      </w:pPr>
      <w:r w:rsidRPr="007341D5">
        <w:t>In this regard, a</w:t>
      </w:r>
      <w:r w:rsidR="00686CC0" w:rsidRPr="007341D5">
        <w:t xml:space="preserve">mino acid composition (AAC) was explored to include sequence order information during prediction of protein attributes. </w:t>
      </w:r>
      <w:r w:rsidRPr="007341D5">
        <w:t>Sequential and Discrete models were formulated to re</w:t>
      </w:r>
      <w:r w:rsidR="008611C0" w:rsidRPr="007341D5">
        <w:t xml:space="preserve">present various proteins. </w:t>
      </w:r>
      <w:r w:rsidR="00686CC0" w:rsidRPr="007341D5">
        <w:t>But using the</w:t>
      </w:r>
      <w:r w:rsidR="00E2301E" w:rsidRPr="007341D5">
        <w:t>se</w:t>
      </w:r>
      <w:r w:rsidR="00686CC0" w:rsidRPr="007341D5">
        <w:t xml:space="preserve"> </w:t>
      </w:r>
      <w:r w:rsidR="00E2301E" w:rsidRPr="007341D5">
        <w:t xml:space="preserve">straightforward models </w:t>
      </w:r>
      <w:r w:rsidRPr="007341D5">
        <w:t xml:space="preserve">was not </w:t>
      </w:r>
      <w:r w:rsidR="00E2301E" w:rsidRPr="007341D5">
        <w:t xml:space="preserve">so </w:t>
      </w:r>
      <w:r w:rsidRPr="007341D5">
        <w:t>fruitful</w:t>
      </w:r>
      <w:r w:rsidR="00E2301E" w:rsidRPr="007341D5">
        <w:t xml:space="preserve"> in preserving the sequence order information</w:t>
      </w:r>
      <w:r w:rsidR="0075776D" w:rsidRPr="007341D5">
        <w:t>. To address this issue</w:t>
      </w:r>
      <w:r w:rsidR="00E12238" w:rsidRPr="007341D5">
        <w:t>, the concept of pseudo amino acid composition (</w:t>
      </w:r>
      <w:proofErr w:type="spellStart"/>
      <w:r w:rsidR="00E12238" w:rsidRPr="007341D5">
        <w:t>pseAAC</w:t>
      </w:r>
      <w:proofErr w:type="spellEnd"/>
      <w:r w:rsidR="00E12238" w:rsidRPr="007341D5">
        <w:t>) was proposed</w:t>
      </w:r>
      <w:r w:rsidR="00194E33" w:rsidRPr="007341D5">
        <w:t xml:space="preserve"> [15]</w:t>
      </w:r>
      <w:r w:rsidR="00E12238" w:rsidRPr="007341D5">
        <w:t>.</w:t>
      </w:r>
    </w:p>
    <w:p w:rsidR="00CA41CE" w:rsidRPr="007341D5" w:rsidRDefault="00CA41CE" w:rsidP="00BD71DD">
      <w:pPr>
        <w:pStyle w:val="ListParagraph"/>
        <w:spacing w:line="480" w:lineRule="auto"/>
        <w:ind w:left="0"/>
      </w:pPr>
    </w:p>
    <w:p w:rsidR="00E12238" w:rsidRPr="007341D5" w:rsidRDefault="00E12238" w:rsidP="00BD71DD">
      <w:pPr>
        <w:pStyle w:val="ListParagraph"/>
        <w:spacing w:line="480" w:lineRule="auto"/>
        <w:ind w:left="0"/>
      </w:pPr>
      <w:r w:rsidRPr="007341D5">
        <w:t xml:space="preserve">In </w:t>
      </w:r>
      <w:proofErr w:type="spellStart"/>
      <w:r w:rsidRPr="007341D5">
        <w:t>pseAAC</w:t>
      </w:r>
      <w:proofErr w:type="spellEnd"/>
      <w:r w:rsidRPr="007341D5">
        <w:t xml:space="preserve">, protein sequences are represented as discrete models yet without completely losing the sequence order information. Ever since this idea of </w:t>
      </w:r>
      <w:proofErr w:type="spellStart"/>
      <w:r w:rsidRPr="007341D5">
        <w:t>pseAAC</w:t>
      </w:r>
      <w:proofErr w:type="spellEnd"/>
      <w:r w:rsidRPr="007341D5">
        <w:t xml:space="preserve"> was proposed, many models for addressing various kinds of problems in proteins and protein related systems have been put forth. Further, different modes of optimal </w:t>
      </w:r>
      <w:proofErr w:type="spellStart"/>
      <w:r w:rsidRPr="007341D5">
        <w:t>pseAAC</w:t>
      </w:r>
      <w:proofErr w:type="spellEnd"/>
      <w:r w:rsidRPr="007341D5">
        <w:t xml:space="preserve"> composition are known to correspond to different protein attributes. Subsequently, the process of key components selection from the trivial ones for obtaining its </w:t>
      </w:r>
      <w:proofErr w:type="spellStart"/>
      <w:r w:rsidRPr="007341D5">
        <w:t>pseAAC</w:t>
      </w:r>
      <w:proofErr w:type="spellEnd"/>
      <w:r w:rsidRPr="007341D5">
        <w:t xml:space="preserve"> has become challenging. However, as </w:t>
      </w:r>
      <w:proofErr w:type="spellStart"/>
      <w:r w:rsidRPr="007341D5">
        <w:t>pseAAC</w:t>
      </w:r>
      <w:proofErr w:type="spellEnd"/>
      <w:r w:rsidRPr="007341D5">
        <w:t xml:space="preserve"> gives important direction for further improvement of the quality of protein attribute prediction, it has captured the interest of biologists</w:t>
      </w:r>
      <w:r w:rsidR="00194E33" w:rsidRPr="007341D5">
        <w:t xml:space="preserve"> [15]</w:t>
      </w:r>
      <w:r w:rsidRPr="007341D5">
        <w:t xml:space="preserve">. </w:t>
      </w:r>
    </w:p>
    <w:p w:rsidR="007341D5" w:rsidRPr="007341D5" w:rsidRDefault="007341D5" w:rsidP="00BD71DD">
      <w:pPr>
        <w:pStyle w:val="ListParagraph"/>
        <w:spacing w:line="480" w:lineRule="auto"/>
        <w:ind w:left="0"/>
      </w:pPr>
    </w:p>
    <w:p w:rsidR="00EB1171" w:rsidRPr="007341D5" w:rsidRDefault="00EF3BB0" w:rsidP="00BD71DD">
      <w:pPr>
        <w:pStyle w:val="ListParagraph"/>
        <w:spacing w:line="480" w:lineRule="auto"/>
        <w:ind w:left="0"/>
      </w:pPr>
      <w:r w:rsidRPr="007341D5">
        <w:t xml:space="preserve">In this study, we have explored the effect of introducing sequence order information in prediction of AFPs </w:t>
      </w:r>
      <w:r w:rsidR="00194E33" w:rsidRPr="007341D5">
        <w:t xml:space="preserve">by </w:t>
      </w:r>
      <w:r w:rsidRPr="007341D5">
        <w:t xml:space="preserve">using Chou's pseudo amino acid composition </w:t>
      </w:r>
      <w:r w:rsidR="00194E33" w:rsidRPr="007341D5">
        <w:t xml:space="preserve">based protein features extracted </w:t>
      </w:r>
      <w:r w:rsidR="00D40C14">
        <w:t>from AFP dataset</w:t>
      </w:r>
      <w:r w:rsidRPr="007341D5">
        <w:t xml:space="preserve"> [5] followed by classification using Support Vector Machines [16]. </w:t>
      </w:r>
      <w:r w:rsidR="00194E33" w:rsidRPr="007341D5">
        <w:t xml:space="preserve">Aspects of example </w:t>
      </w:r>
      <w:proofErr w:type="gramStart"/>
      <w:r w:rsidR="00194E33" w:rsidRPr="007341D5">
        <w:t>selection,</w:t>
      </w:r>
      <w:proofErr w:type="gramEnd"/>
      <w:r w:rsidR="00194E33" w:rsidRPr="007341D5">
        <w:t xml:space="preserve"> influence of large numbers of negative examples and </w:t>
      </w:r>
      <w:proofErr w:type="spellStart"/>
      <w:r w:rsidR="00194E33" w:rsidRPr="007341D5">
        <w:t>pseAAC</w:t>
      </w:r>
      <w:proofErr w:type="spellEnd"/>
      <w:r w:rsidR="00194E33" w:rsidRPr="007341D5">
        <w:t xml:space="preserve"> modes were searched for development of the AFP predictor. </w:t>
      </w:r>
      <w:r w:rsidRPr="007341D5">
        <w:t xml:space="preserve">Training </w:t>
      </w:r>
      <w:r w:rsidR="00CE45D5" w:rsidRPr="007341D5">
        <w:t>was</w:t>
      </w:r>
      <w:r w:rsidRPr="007341D5">
        <w:t xml:space="preserve"> done using ten-fold </w:t>
      </w:r>
      <w:r w:rsidRPr="007341D5">
        <w:lastRenderedPageBreak/>
        <w:t>cross-validation [17]</w:t>
      </w:r>
      <w:r w:rsidR="00CE45D5" w:rsidRPr="007341D5">
        <w:t xml:space="preserve"> followed by testing on independent test dataset</w:t>
      </w:r>
      <w:r w:rsidRPr="007341D5">
        <w:t xml:space="preserve"> to analyze if sequence order information improved the overall prediction accuracy of AFPs. The findings of our study </w:t>
      </w:r>
      <w:r w:rsidR="00911822">
        <w:t>can</w:t>
      </w:r>
      <w:r w:rsidRPr="007341D5">
        <w:t xml:space="preserve"> </w:t>
      </w:r>
      <w:r w:rsidR="00AF03B7" w:rsidRPr="007341D5">
        <w:t xml:space="preserve">facilitate </w:t>
      </w:r>
      <w:r w:rsidRPr="007341D5">
        <w:t xml:space="preserve">AFP </w:t>
      </w:r>
      <w:r w:rsidR="00AF03B7" w:rsidRPr="007341D5">
        <w:t>based studies and applications</w:t>
      </w:r>
      <w:r w:rsidRPr="007341D5">
        <w:t>.</w:t>
      </w:r>
    </w:p>
    <w:p w:rsidR="004F7E43" w:rsidRDefault="004F7E43" w:rsidP="00BD71DD">
      <w:pPr>
        <w:pStyle w:val="ListParagraph"/>
        <w:spacing w:line="480" w:lineRule="auto"/>
        <w:ind w:left="360"/>
        <w:rPr>
          <w:b/>
        </w:rPr>
      </w:pPr>
    </w:p>
    <w:p w:rsidR="00EB1171" w:rsidRDefault="00EF3BB0" w:rsidP="00BD71DD">
      <w:pPr>
        <w:pStyle w:val="ListParagraph"/>
        <w:numPr>
          <w:ilvl w:val="0"/>
          <w:numId w:val="1"/>
        </w:numPr>
        <w:spacing w:line="480" w:lineRule="auto"/>
        <w:rPr>
          <w:b/>
        </w:rPr>
      </w:pPr>
      <w:r w:rsidRPr="00EF3BB0">
        <w:rPr>
          <w:b/>
        </w:rPr>
        <w:t>Materials and Methods</w:t>
      </w:r>
    </w:p>
    <w:p w:rsidR="00EF3BB0" w:rsidRPr="007408DD" w:rsidRDefault="00D40C14" w:rsidP="007408DD">
      <w:pPr>
        <w:pStyle w:val="ListParagraph"/>
        <w:numPr>
          <w:ilvl w:val="1"/>
          <w:numId w:val="1"/>
        </w:numPr>
        <w:spacing w:line="480" w:lineRule="auto"/>
        <w:rPr>
          <w:b/>
          <w:i/>
        </w:rPr>
      </w:pPr>
      <w:r>
        <w:rPr>
          <w:b/>
          <w:i/>
        </w:rPr>
        <w:t>Dataset</w:t>
      </w:r>
    </w:p>
    <w:p w:rsidR="00EF3BB0" w:rsidRDefault="00EF3BB0" w:rsidP="00BD71DD">
      <w:pPr>
        <w:pStyle w:val="ListParagraph"/>
        <w:spacing w:line="480" w:lineRule="auto"/>
        <w:ind w:left="0"/>
        <w:rPr>
          <w:rFonts w:ascii="TimesNewRomanPSMT" w:hAnsi="TimesNewRomanPSMT" w:cs="TimesNewRomanPSMT"/>
        </w:rPr>
      </w:pPr>
      <w:r w:rsidRPr="00FF12C6">
        <w:rPr>
          <w:rFonts w:ascii="TimesNewRomanPSMT" w:hAnsi="TimesNewRomanPSMT" w:cs="TimesNewRomanPSMT"/>
        </w:rPr>
        <w:t>We obtained AFP dataset used for the development of AFP-</w:t>
      </w:r>
      <w:proofErr w:type="spellStart"/>
      <w:r w:rsidRPr="00FF12C6">
        <w:rPr>
          <w:rFonts w:ascii="TimesNewRomanPSMT" w:hAnsi="TimesNewRomanPSMT" w:cs="TimesNewRomanPSMT"/>
        </w:rPr>
        <w:t>Pred</w:t>
      </w:r>
      <w:proofErr w:type="spellEnd"/>
      <w:r w:rsidRPr="00FF12C6">
        <w:rPr>
          <w:rFonts w:ascii="TimesNewRomanPSMT" w:hAnsi="TimesNewRomanPSMT" w:cs="TimesNewRomanPSMT"/>
        </w:rPr>
        <w:t xml:space="preserve"> [5]</w:t>
      </w:r>
      <w:r>
        <w:rPr>
          <w:rFonts w:ascii="TimesNewRomanPSMT" w:hAnsi="TimesNewRomanPSMT" w:cs="TimesNewRomanPSMT"/>
        </w:rPr>
        <w:t>. Briefly, a</w:t>
      </w:r>
      <w:r w:rsidRPr="00FF12C6">
        <w:rPr>
          <w:rFonts w:ascii="TimesNewRomanPSMT" w:hAnsi="TimesNewRomanPSMT" w:cs="TimesNewRomanPSMT"/>
        </w:rPr>
        <w:t xml:space="preserve">ntifreeze protein sequences were collected from seed proteins of the </w:t>
      </w:r>
      <w:proofErr w:type="spellStart"/>
      <w:r w:rsidRPr="00FF12C6">
        <w:rPr>
          <w:rFonts w:ascii="TimesNewRomanPSMT" w:hAnsi="TimesNewRomanPSMT" w:cs="TimesNewRomanPSMT"/>
        </w:rPr>
        <w:t>Pfam</w:t>
      </w:r>
      <w:proofErr w:type="spellEnd"/>
      <w:r>
        <w:rPr>
          <w:rFonts w:ascii="TimesNewRomanPSMT" w:hAnsi="TimesNewRomanPSMT" w:cs="TimesNewRomanPSMT"/>
        </w:rPr>
        <w:t xml:space="preserve"> database</w:t>
      </w:r>
      <w:r w:rsidR="00CE45D5">
        <w:rPr>
          <w:rFonts w:ascii="TimesNewRomanPSMT" w:hAnsi="TimesNewRomanPSMT" w:cs="TimesNewRomanPSMT"/>
        </w:rPr>
        <w:t xml:space="preserve"> [</w:t>
      </w:r>
      <w:r w:rsidR="003A11C8">
        <w:rPr>
          <w:rFonts w:ascii="TimesNewRomanPSMT" w:hAnsi="TimesNewRomanPSMT" w:cs="TimesNewRomanPSMT"/>
        </w:rPr>
        <w:t>18</w:t>
      </w:r>
      <w:r w:rsidR="00CE45D5">
        <w:rPr>
          <w:rFonts w:ascii="TimesNewRomanPSMT" w:hAnsi="TimesNewRomanPSMT" w:cs="TimesNewRomanPSMT"/>
        </w:rPr>
        <w:t>]</w:t>
      </w:r>
      <w:r w:rsidRPr="00FF12C6">
        <w:rPr>
          <w:rFonts w:ascii="TimesNewRomanPSMT" w:hAnsi="TimesNewRomanPSMT" w:cs="TimesNewRomanPSMT"/>
        </w:rPr>
        <w:t>, enriched by performing Position Specific Iteration -Basic Local Alignment Search Tool (PSI-BLAST)</w:t>
      </w:r>
      <w:r w:rsidR="00290A4A">
        <w:rPr>
          <w:rFonts w:ascii="TimesNewRomanPSMT" w:hAnsi="TimesNewRomanPSMT" w:cs="TimesNewRomanPSMT"/>
        </w:rPr>
        <w:t xml:space="preserve"> [19]</w:t>
      </w:r>
      <w:r w:rsidRPr="00FF12C6">
        <w:rPr>
          <w:rFonts w:ascii="TimesNewRomanPSMT" w:hAnsi="TimesNewRomanPSMT" w:cs="TimesNewRomanPSMT"/>
        </w:rPr>
        <w:t xml:space="preserve"> with a string t</w:t>
      </w:r>
      <w:r>
        <w:rPr>
          <w:rFonts w:ascii="TimesNewRomanPSMT" w:hAnsi="TimesNewRomanPSMT" w:cs="TimesNewRomanPSMT"/>
        </w:rPr>
        <w:t>hreshold (E-value) of 0.001</w:t>
      </w:r>
      <w:r w:rsidRPr="00FF12C6">
        <w:rPr>
          <w:rFonts w:ascii="TimesNewRomanPSMT" w:hAnsi="TimesNewRomanPSMT" w:cs="TimesNewRomanPSMT"/>
        </w:rPr>
        <w:t xml:space="preserve">, </w:t>
      </w:r>
      <w:r w:rsidR="00BC30A1" w:rsidRPr="00FF12C6">
        <w:rPr>
          <w:rFonts w:ascii="TimesNewRomanPSMT" w:hAnsi="TimesNewRomanPSMT" w:cs="TimesNewRomanPSMT"/>
        </w:rPr>
        <w:t>and followed</w:t>
      </w:r>
      <w:r w:rsidRPr="00FF12C6">
        <w:rPr>
          <w:rFonts w:ascii="TimesNewRomanPSMT" w:hAnsi="TimesNewRomanPSMT" w:cs="TimesNewRomanPSMT"/>
        </w:rPr>
        <w:t xml:space="preserve"> by manual inspection for presence of AFPs.</w:t>
      </w:r>
      <w:r>
        <w:rPr>
          <w:rFonts w:ascii="TimesNewRomanPSMT" w:hAnsi="TimesNewRomanPSMT" w:cs="TimesNewRomanPSMT"/>
        </w:rPr>
        <w:t xml:space="preserve"> Further, t</w:t>
      </w:r>
      <w:r w:rsidRPr="00FF12C6">
        <w:rPr>
          <w:rFonts w:ascii="TimesNewRomanPSMT" w:hAnsi="TimesNewRomanPSMT" w:cs="TimesNewRomanPSMT"/>
        </w:rPr>
        <w:t xml:space="preserve">he dataset was free of incomplete sequences and homology bias at </w:t>
      </w:r>
      <w:r>
        <w:rPr>
          <w:rFonts w:ascii="TimesNewRomanPSMT" w:hAnsi="TimesNewRomanPSMT" w:cs="TimesNewRomanPSMT"/>
        </w:rPr>
        <w:sym w:font="Symbol" w:char="F0B3"/>
      </w:r>
      <w:r w:rsidRPr="00FF12C6">
        <w:rPr>
          <w:rFonts w:ascii="TimesNewRomanPSMT" w:hAnsi="TimesNewRomanPSMT" w:cs="TimesNewRomanPSMT"/>
        </w:rPr>
        <w:t xml:space="preserve"> 40% sequence similarity.</w:t>
      </w:r>
      <w:r w:rsidR="00D4402A">
        <w:rPr>
          <w:rFonts w:ascii="TimesNewRomanPSMT" w:hAnsi="TimesNewRomanPSMT" w:cs="TimesNewRomanPSMT"/>
        </w:rPr>
        <w:t xml:space="preserve"> </w:t>
      </w:r>
      <w:proofErr w:type="gramStart"/>
      <w:r w:rsidR="00D4402A">
        <w:rPr>
          <w:rFonts w:ascii="TimesNewRomanPSMT" w:hAnsi="TimesNewRomanPSMT" w:cs="TimesNewRomanPSMT"/>
        </w:rPr>
        <w:t xml:space="preserve">Altogether comprising of 481 AFPs (positive examples) and 9493 </w:t>
      </w:r>
      <w:r w:rsidR="00FE5991">
        <w:rPr>
          <w:rFonts w:ascii="TimesNewRomanPSMT" w:hAnsi="TimesNewRomanPSMT" w:cs="TimesNewRomanPSMT"/>
        </w:rPr>
        <w:t>non-</w:t>
      </w:r>
      <w:r w:rsidR="00CE45D5">
        <w:rPr>
          <w:rFonts w:ascii="TimesNewRomanPSMT" w:hAnsi="TimesNewRomanPSMT" w:cs="TimesNewRomanPSMT"/>
        </w:rPr>
        <w:t xml:space="preserve">AFPs </w:t>
      </w:r>
      <w:r w:rsidR="00D4402A">
        <w:rPr>
          <w:rFonts w:ascii="TimesNewRomanPSMT" w:hAnsi="TimesNewRomanPSMT" w:cs="TimesNewRomanPSMT"/>
        </w:rPr>
        <w:t>(negative examples).</w:t>
      </w:r>
      <w:proofErr w:type="gramEnd"/>
    </w:p>
    <w:p w:rsidR="00BC30A1" w:rsidRDefault="00BC30A1" w:rsidP="00BD71DD">
      <w:pPr>
        <w:pStyle w:val="ListParagraph"/>
        <w:spacing w:line="480" w:lineRule="auto"/>
        <w:ind w:left="0"/>
        <w:rPr>
          <w:rFonts w:ascii="TimesNewRomanPSMT" w:hAnsi="TimesNewRomanPSMT" w:cs="TimesNewRomanPSMT"/>
        </w:rPr>
      </w:pPr>
    </w:p>
    <w:p w:rsidR="00290A4A" w:rsidRPr="007408DD" w:rsidRDefault="00290A4A" w:rsidP="00BD71DD">
      <w:pPr>
        <w:pStyle w:val="ListParagraph"/>
        <w:numPr>
          <w:ilvl w:val="1"/>
          <w:numId w:val="1"/>
        </w:numPr>
        <w:spacing w:line="480" w:lineRule="auto"/>
        <w:rPr>
          <w:b/>
          <w:i/>
        </w:rPr>
      </w:pPr>
      <w:r w:rsidRPr="007408DD">
        <w:rPr>
          <w:b/>
          <w:i/>
        </w:rPr>
        <w:t>Pseudo amino acid composition</w:t>
      </w:r>
    </w:p>
    <w:p w:rsidR="002E35FF" w:rsidRDefault="002E35FF" w:rsidP="00BD71DD">
      <w:pPr>
        <w:pStyle w:val="ListParagraph"/>
        <w:spacing w:line="480" w:lineRule="auto"/>
        <w:ind w:left="0"/>
      </w:pPr>
      <w:r>
        <w:t xml:space="preserve">Representing protein sequences with sequence order information herein is done using pseudo amino acid composition which is known for its applications in dealing with various kinds of problems in proteins and protein related systems. To develop an effective predictor, a powerful prediction algorithm with an effective mathematical expression, truly representing the protein sequence in correlation with the object to be predicted. Different properties of amino acids in the proteins correspond to different modes of </w:t>
      </w:r>
      <w:proofErr w:type="spellStart"/>
      <w:r>
        <w:t>pseAAC</w:t>
      </w:r>
      <w:proofErr w:type="spellEnd"/>
      <w:r>
        <w:t xml:space="preserve"> composition. The discrete models so derived from the proteins used in our study were based on the following mathematical function described </w:t>
      </w:r>
      <w:r>
        <w:lastRenderedPageBreak/>
        <w:t>below</w:t>
      </w:r>
      <w:r w:rsidR="00693FFB">
        <w:t xml:space="preserve"> [9, 15]</w:t>
      </w:r>
      <w:r>
        <w:t xml:space="preserve">. The composition of a given protein </w:t>
      </w:r>
      <w:r w:rsidRPr="00E750DD">
        <w:rPr>
          <w:b/>
        </w:rPr>
        <w:t>P</w:t>
      </w:r>
      <w:r>
        <w:rPr>
          <w:b/>
        </w:rPr>
        <w:t xml:space="preserve"> </w:t>
      </w:r>
      <w:r w:rsidRPr="00E750DD">
        <w:t>containing</w:t>
      </w:r>
      <w:r>
        <w:rPr>
          <w:b/>
        </w:rPr>
        <w:t xml:space="preserve"> </w:t>
      </w:r>
      <w:r>
        <w:t xml:space="preserve">amino acid residues of length </w:t>
      </w:r>
      <w:r w:rsidRPr="00E750DD">
        <w:rPr>
          <w:i/>
        </w:rPr>
        <w:t>L</w:t>
      </w:r>
      <w:r>
        <w:t xml:space="preserve"> is depicted as:</w:t>
      </w:r>
    </w:p>
    <w:p w:rsidR="002E35FF" w:rsidRDefault="002E35FF" w:rsidP="00EF0426">
      <w:pPr>
        <w:pStyle w:val="ListParagraph"/>
        <w:spacing w:line="480" w:lineRule="auto"/>
        <w:ind w:left="0"/>
        <w:jc w:val="center"/>
      </w:pPr>
      <m:oMath>
        <m:r>
          <m:rPr>
            <m:sty m:val="bi"/>
          </m:rPr>
          <w:rPr>
            <w:rFonts w:ascii="Cambria Math" w:hAnsi="Cambria Math"/>
          </w:rPr>
          <m:t>P</m:t>
        </m:r>
        <m:r>
          <w:rPr>
            <w:rFonts w:ascii="Cambria Math" w:hAnsi="Cambria Math"/>
          </w:rPr>
          <m:t>=</m:t>
        </m:r>
        <m:sSub>
          <m:sSubPr>
            <m:ctrlPr>
              <w:rPr>
                <w:rFonts w:ascii="Cambria Math" w:eastAsiaTheme="minorHAnsi" w:hAnsi="Cambria Math"/>
                <w:i/>
              </w:rPr>
            </m:ctrlPr>
          </m:sSubPr>
          <m:e>
            <m:r>
              <w:rPr>
                <w:rFonts w:ascii="Cambria Math" w:hAnsi="Cambria Math"/>
              </w:rPr>
              <m:t>R</m:t>
            </m:r>
          </m:e>
          <m:sub>
            <m:r>
              <w:rPr>
                <w:rFonts w:ascii="Cambria Math" w:hAnsi="Cambria Math"/>
              </w:rPr>
              <m:t>1</m:t>
            </m:r>
          </m:sub>
        </m:sSub>
        <m:sSub>
          <m:sSubPr>
            <m:ctrlPr>
              <w:rPr>
                <w:rFonts w:ascii="Cambria Math" w:eastAsiaTheme="minorHAnsi" w:hAnsi="Cambria Math"/>
                <w:i/>
              </w:rPr>
            </m:ctrlPr>
          </m:sSubPr>
          <m:e>
            <m:r>
              <w:rPr>
                <w:rFonts w:ascii="Cambria Math" w:hAnsi="Cambria Math"/>
              </w:rPr>
              <m:t>R</m:t>
            </m:r>
          </m:e>
          <m:sub>
            <m:r>
              <w:rPr>
                <w:rFonts w:ascii="Cambria Math" w:hAnsi="Cambria Math"/>
              </w:rPr>
              <m:t>2</m:t>
            </m:r>
          </m:sub>
        </m:sSub>
        <m:sSub>
          <m:sSubPr>
            <m:ctrlPr>
              <w:rPr>
                <w:rFonts w:ascii="Cambria Math" w:eastAsiaTheme="minorHAnsi" w:hAnsi="Cambria Math"/>
                <w:i/>
              </w:rPr>
            </m:ctrlPr>
          </m:sSubPr>
          <m:e>
            <m:r>
              <w:rPr>
                <w:rFonts w:ascii="Cambria Math" w:hAnsi="Cambria Math"/>
              </w:rPr>
              <m:t>R</m:t>
            </m:r>
          </m:e>
          <m:sub>
            <m:r>
              <w:rPr>
                <w:rFonts w:ascii="Cambria Math" w:hAnsi="Cambria Math"/>
              </w:rPr>
              <m:t>3</m:t>
            </m:r>
          </m:sub>
        </m:sSub>
        <m:sSub>
          <m:sSubPr>
            <m:ctrlPr>
              <w:rPr>
                <w:rFonts w:ascii="Cambria Math" w:eastAsiaTheme="minorHAnsi" w:hAnsi="Cambria Math"/>
                <w:i/>
              </w:rPr>
            </m:ctrlPr>
          </m:sSubPr>
          <m:e>
            <m:r>
              <w:rPr>
                <w:rFonts w:ascii="Cambria Math" w:hAnsi="Cambria Math"/>
              </w:rPr>
              <m:t>R</m:t>
            </m:r>
          </m:e>
          <m:sub>
            <m:r>
              <w:rPr>
                <w:rFonts w:ascii="Cambria Math" w:hAnsi="Cambria Math"/>
              </w:rPr>
              <m:t>4</m:t>
            </m:r>
          </m:sub>
        </m:sSub>
        <m:sSub>
          <m:sSubPr>
            <m:ctrlPr>
              <w:rPr>
                <w:rFonts w:ascii="Cambria Math" w:eastAsiaTheme="minorHAnsi" w:hAnsi="Cambria Math"/>
                <w:i/>
              </w:rPr>
            </m:ctrlPr>
          </m:sSubPr>
          <m:e>
            <m:r>
              <w:rPr>
                <w:rFonts w:ascii="Cambria Math" w:hAnsi="Cambria Math"/>
              </w:rPr>
              <m:t>R</m:t>
            </m:r>
          </m:e>
          <m:sub>
            <m:r>
              <w:rPr>
                <w:rFonts w:ascii="Cambria Math" w:hAnsi="Cambria Math"/>
              </w:rPr>
              <m:t>5</m:t>
            </m:r>
          </m:sub>
        </m:sSub>
        <m:r>
          <w:rPr>
            <w:rFonts w:ascii="Cambria Math" w:hAnsi="Cambria Math"/>
          </w:rPr>
          <m:t>…</m:t>
        </m:r>
        <m:sSub>
          <m:sSubPr>
            <m:ctrlPr>
              <w:rPr>
                <w:rFonts w:ascii="Cambria Math" w:eastAsiaTheme="minorHAnsi" w:hAnsi="Cambria Math"/>
                <w:i/>
              </w:rPr>
            </m:ctrlPr>
          </m:sSubPr>
          <m:e>
            <m:r>
              <w:rPr>
                <w:rFonts w:ascii="Cambria Math" w:hAnsi="Cambria Math"/>
              </w:rPr>
              <m:t>R</m:t>
            </m:r>
          </m:e>
          <m:sub>
            <m:r>
              <w:rPr>
                <w:rFonts w:ascii="Cambria Math" w:hAnsi="Cambria Math"/>
              </w:rPr>
              <m:t>L</m:t>
            </m:r>
          </m:sub>
        </m:sSub>
      </m:oMath>
      <w:r w:rsidR="00EF0426">
        <w:t xml:space="preserve">          (1)</w:t>
      </w:r>
    </w:p>
    <w:p w:rsidR="002E35FF" w:rsidRDefault="002E35FF" w:rsidP="00BD71DD">
      <w:pPr>
        <w:pStyle w:val="ListParagraph"/>
        <w:spacing w:line="480" w:lineRule="auto"/>
        <w:ind w:left="0"/>
      </w:pPr>
      <w:proofErr w:type="gramStart"/>
      <w:r>
        <w:t>where</w:t>
      </w:r>
      <w:proofErr w:type="gramEnd"/>
      <w:r>
        <w:t xml:space="preserve"> R</w:t>
      </w:r>
      <w:r>
        <w:rPr>
          <w:vertAlign w:val="subscript"/>
        </w:rPr>
        <w:t>1</w:t>
      </w:r>
      <w:r>
        <w:t xml:space="preserve"> represents the 1</w:t>
      </w:r>
      <w:r>
        <w:rPr>
          <w:vertAlign w:val="superscript"/>
        </w:rPr>
        <w:t xml:space="preserve">st </w:t>
      </w:r>
      <w:r>
        <w:t>residue, R</w:t>
      </w:r>
      <w:r>
        <w:rPr>
          <w:vertAlign w:val="subscript"/>
        </w:rPr>
        <w:t xml:space="preserve">2 </w:t>
      </w:r>
      <w:r>
        <w:t>represents the 2</w:t>
      </w:r>
      <w:r>
        <w:rPr>
          <w:vertAlign w:val="superscript"/>
        </w:rPr>
        <w:t>nd</w:t>
      </w:r>
      <w:r>
        <w:t xml:space="preserve"> residue,… and R</w:t>
      </w:r>
      <w:r w:rsidRPr="00E750DD">
        <w:rPr>
          <w:i/>
          <w:vertAlign w:val="subscript"/>
        </w:rPr>
        <w:t>L</w:t>
      </w:r>
      <w:r>
        <w:t xml:space="preserve"> the </w:t>
      </w:r>
      <w:r w:rsidRPr="00E750DD">
        <w:rPr>
          <w:i/>
        </w:rPr>
        <w:t>L</w:t>
      </w:r>
      <w:r>
        <w:t>-</w:t>
      </w:r>
      <w:proofErr w:type="spellStart"/>
      <w:r>
        <w:t>th</w:t>
      </w:r>
      <w:proofErr w:type="spellEnd"/>
      <w:r>
        <w:t xml:space="preserve"> residue, and they each belong to one of the 20 native amino acids. </w:t>
      </w:r>
    </w:p>
    <w:p w:rsidR="00B76C87" w:rsidRDefault="00B76C87" w:rsidP="00BD71DD">
      <w:pPr>
        <w:pStyle w:val="ListParagraph"/>
        <w:spacing w:line="480" w:lineRule="auto"/>
        <w:ind w:left="0"/>
      </w:pPr>
    </w:p>
    <w:p w:rsidR="002E35FF" w:rsidRDefault="002E35FF" w:rsidP="00BD71DD">
      <w:pPr>
        <w:pStyle w:val="ListParagraph"/>
        <w:spacing w:line="480" w:lineRule="auto"/>
        <w:ind w:left="0"/>
      </w:pPr>
      <w:r>
        <w:t>In the classical mode</w:t>
      </w:r>
      <w:r w:rsidR="0055483C">
        <w:t xml:space="preserve"> (Type 1)</w:t>
      </w:r>
      <w:r>
        <w:t>, amino acid composition is expressed as:</w:t>
      </w:r>
    </w:p>
    <w:p w:rsidR="002E35FF" w:rsidRDefault="002E35FF" w:rsidP="00EF0426">
      <w:pPr>
        <w:pStyle w:val="ListParagraph"/>
        <w:spacing w:line="480" w:lineRule="auto"/>
        <w:ind w:left="0"/>
        <w:jc w:val="center"/>
      </w:pPr>
      <m:oMath>
        <m:r>
          <m:rPr>
            <m:sty m:val="bi"/>
          </m:rPr>
          <w:rPr>
            <w:rFonts w:ascii="Cambria Math" w:hAnsi="Cambria Math"/>
          </w:rPr>
          <m:t>P</m:t>
        </m:r>
        <m:r>
          <w:rPr>
            <w:rFonts w:ascii="Cambria Math" w:hAnsi="Cambria Math"/>
          </w:rPr>
          <m:t>=[</m:t>
        </m:r>
        <m:sSup>
          <m:sSupPr>
            <m:ctrlPr>
              <w:rPr>
                <w:rFonts w:ascii="Cambria Math" w:eastAsiaTheme="minorHAnsi" w:hAnsi="Cambria Math"/>
                <w:i/>
              </w:rPr>
            </m:ctrlPr>
          </m:sSupPr>
          <m:e>
            <m:sSub>
              <m:sSubPr>
                <m:ctrlPr>
                  <w:rPr>
                    <w:rFonts w:ascii="Cambria Math" w:eastAsiaTheme="minorHAnsi"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20+1</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20+λ</m:t>
                </m:r>
              </m:sub>
            </m:sSub>
            <m:r>
              <w:rPr>
                <w:rFonts w:ascii="Cambria Math" w:hAnsi="Cambria Math"/>
              </w:rPr>
              <m:t>]</m:t>
            </m:r>
          </m:e>
          <m:sup>
            <m:r>
              <w:rPr>
                <w:rFonts w:ascii="Cambria Math" w:hAnsi="Cambria Math"/>
              </w:rPr>
              <m:t>T</m:t>
            </m:r>
          </m:sup>
        </m:sSup>
        <m:r>
          <w:rPr>
            <w:rFonts w:ascii="Cambria Math" w:hAnsi="Cambria Math"/>
          </w:rPr>
          <m:t>,    (λ&lt;L)</m:t>
        </m:r>
      </m:oMath>
      <w:r w:rsidR="00EF0426">
        <w:t xml:space="preserve">          (2)</w:t>
      </w:r>
    </w:p>
    <w:p w:rsidR="002E35FF" w:rsidRDefault="002E35FF" w:rsidP="00693FFB">
      <w:pPr>
        <w:spacing w:line="480" w:lineRule="auto"/>
      </w:pPr>
      <w:proofErr w:type="gramStart"/>
      <w:r>
        <w:t>where</w:t>
      </w:r>
      <w:proofErr w:type="gramEnd"/>
      <w:r>
        <w:t xml:space="preserve"> the 20 + λ</w:t>
      </w:r>
      <w:r w:rsidRPr="005A08CD">
        <w:t xml:space="preserve"> components are given by</w:t>
      </w:r>
      <w:r w:rsidR="008F4005">
        <w:t>:</w:t>
      </w:r>
    </w:p>
    <w:p w:rsidR="002E35FF" w:rsidRDefault="00211040" w:rsidP="00BD71DD">
      <w:pPr>
        <w:pStyle w:val="ListParagraph"/>
        <w:spacing w:line="480" w:lineRule="auto"/>
        <w:ind w:left="0"/>
        <w:jc w:val="center"/>
      </w:pPr>
      <m:oMath>
        <m:sSub>
          <m:sSubPr>
            <m:ctrlPr>
              <w:rPr>
                <w:rFonts w:ascii="Cambria Math" w:hAnsi="Cambria Math"/>
                <w:i/>
              </w:rPr>
            </m:ctrlPr>
          </m:sSubPr>
          <m:e>
            <m:r>
              <w:rPr>
                <w:rFonts w:ascii="Cambria Math" w:hAnsi="Cambria Math"/>
              </w:rPr>
              <m:t>p</m:t>
            </m:r>
          </m:e>
          <m:sub>
            <m:r>
              <w:rPr>
                <w:rFonts w:ascii="Cambria Math" w:hAnsi="Cambria Math"/>
              </w:rPr>
              <m:t>u</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u</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20</m:t>
                          </m:r>
                        </m:sup>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+ω</m:t>
                          </m:r>
                          <m:nary>
                            <m:naryPr>
                              <m:chr m:val="∑"/>
                              <m:limLoc m:val="undOvr"/>
                              <m:ctrlPr>
                                <w:rPr>
                                  <w:rFonts w:ascii="Cambria Math" w:hAnsi="Cambria Math"/>
                                  <w:i/>
                                </w:rPr>
                              </m:ctrlPr>
                            </m:naryPr>
                            <m:sub>
                              <m:r>
                                <w:rPr>
                                  <w:rFonts w:ascii="Cambria Math" w:hAnsi="Cambria Math"/>
                                </w:rPr>
                                <m:t>k=1</m:t>
                              </m:r>
                            </m:sub>
                            <m:sup>
                              <m:r>
                                <w:rPr>
                                  <w:rFonts w:ascii="Cambria Math" w:hAnsi="Cambria Math"/>
                                </w:rPr>
                                <m:t>λ</m:t>
                              </m:r>
                            </m:sup>
                            <m:e>
                              <m:sSub>
                                <m:sSubPr>
                                  <m:ctrlPr>
                                    <w:rPr>
                                      <w:rFonts w:ascii="Cambria Math" w:hAnsi="Cambria Math"/>
                                      <w:i/>
                                    </w:rPr>
                                  </m:ctrlPr>
                                </m:sSubPr>
                                <m:e>
                                  <m:r>
                                    <w:rPr>
                                      <w:rFonts w:ascii="Cambria Math" w:hAnsi="Cambria Math"/>
                                    </w:rPr>
                                    <m:t>τ</m:t>
                                  </m:r>
                                </m:e>
                                <m:sub>
                                  <m:r>
                                    <w:rPr>
                                      <w:rFonts w:ascii="Cambria Math" w:hAnsi="Cambria Math"/>
                                    </w:rPr>
                                    <m:t>k</m:t>
                                  </m:r>
                                </m:sub>
                              </m:sSub>
                            </m:e>
                          </m:nary>
                        </m:e>
                      </m:nary>
                    </m:den>
                  </m:f>
                  <m:r>
                    <w:rPr>
                      <w:rFonts w:ascii="Cambria Math" w:hAnsi="Cambria Math"/>
                    </w:rPr>
                    <m:t>,                        (1≤u≤20)</m:t>
                  </m:r>
                </m:e>
              </m:mr>
              <m:mr>
                <m:e>
                  <m:f>
                    <m:fPr>
                      <m:ctrlPr>
                        <w:rPr>
                          <w:rFonts w:ascii="Cambria Math" w:hAnsi="Cambria Math"/>
                          <w:i/>
                        </w:rPr>
                      </m:ctrlPr>
                    </m:fPr>
                    <m:num>
                      <m:r>
                        <w:rPr>
                          <w:rFonts w:ascii="Cambria Math" w:hAnsi="Cambria Math"/>
                        </w:rPr>
                        <m:t>ω</m:t>
                      </m:r>
                      <m:sSub>
                        <m:sSubPr>
                          <m:ctrlPr>
                            <w:rPr>
                              <w:rFonts w:ascii="Cambria Math" w:hAnsi="Cambria Math"/>
                              <w:i/>
                            </w:rPr>
                          </m:ctrlPr>
                        </m:sSubPr>
                        <m:e>
                          <m:r>
                            <w:rPr>
                              <w:rFonts w:ascii="Cambria Math" w:hAnsi="Cambria Math"/>
                            </w:rPr>
                            <m:t>τ</m:t>
                          </m:r>
                        </m:e>
                        <m:sub>
                          <m:r>
                            <w:rPr>
                              <w:rFonts w:ascii="Cambria Math" w:hAnsi="Cambria Math"/>
                            </w:rPr>
                            <m:t>u-20</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20</m:t>
                          </m:r>
                        </m:sup>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+ω</m:t>
                          </m:r>
                          <m:nary>
                            <m:naryPr>
                              <m:chr m:val="∑"/>
                              <m:limLoc m:val="undOvr"/>
                              <m:ctrlPr>
                                <w:rPr>
                                  <w:rFonts w:ascii="Cambria Math" w:hAnsi="Cambria Math"/>
                                  <w:i/>
                                </w:rPr>
                              </m:ctrlPr>
                            </m:naryPr>
                            <m:sub>
                              <m:r>
                                <w:rPr>
                                  <w:rFonts w:ascii="Cambria Math" w:hAnsi="Cambria Math"/>
                                </w:rPr>
                                <m:t>k=1</m:t>
                              </m:r>
                            </m:sub>
                            <m:sup>
                              <m:r>
                                <w:rPr>
                                  <w:rFonts w:ascii="Cambria Math" w:hAnsi="Cambria Math"/>
                                </w:rPr>
                                <m:t>λ</m:t>
                              </m:r>
                            </m:sup>
                            <m:e>
                              <m:sSub>
                                <m:sSubPr>
                                  <m:ctrlPr>
                                    <w:rPr>
                                      <w:rFonts w:ascii="Cambria Math" w:hAnsi="Cambria Math"/>
                                      <w:i/>
                                    </w:rPr>
                                  </m:ctrlPr>
                                </m:sSubPr>
                                <m:e>
                                  <m:r>
                                    <w:rPr>
                                      <w:rFonts w:ascii="Cambria Math" w:hAnsi="Cambria Math"/>
                                    </w:rPr>
                                    <m:t>τ</m:t>
                                  </m:r>
                                </m:e>
                                <m:sub>
                                  <m:r>
                                    <w:rPr>
                                      <w:rFonts w:ascii="Cambria Math" w:hAnsi="Cambria Math"/>
                                    </w:rPr>
                                    <m:t>k</m:t>
                                  </m:r>
                                </m:sub>
                              </m:sSub>
                            </m:e>
                          </m:nary>
                        </m:e>
                      </m:nary>
                    </m:den>
                  </m:f>
                  <m:r>
                    <w:rPr>
                      <w:rFonts w:ascii="Cambria Math" w:hAnsi="Cambria Math"/>
                    </w:rPr>
                    <m:t>,       (20+1≤u≤20+λ)</m:t>
                  </m:r>
                </m:e>
              </m:mr>
            </m:m>
          </m:e>
        </m:d>
      </m:oMath>
      <w:r w:rsidR="00EF0426">
        <w:t xml:space="preserve">          (3)</w:t>
      </w:r>
    </w:p>
    <w:p w:rsidR="007B2EE0" w:rsidRDefault="007B2EE0" w:rsidP="00BD71DD">
      <w:pPr>
        <w:pStyle w:val="ListParagraph"/>
        <w:spacing w:line="480" w:lineRule="auto"/>
        <w:ind w:left="0"/>
      </w:pPr>
    </w:p>
    <w:p w:rsidR="002E35FF" w:rsidRPr="009F5BF5" w:rsidRDefault="008F4005" w:rsidP="00BD71DD">
      <w:pPr>
        <w:pStyle w:val="ListParagraph"/>
        <w:spacing w:line="480" w:lineRule="auto"/>
        <w:ind w:left="0"/>
      </w:pPr>
      <w:proofErr w:type="gramStart"/>
      <w:r>
        <w:t>where</w:t>
      </w:r>
      <w:proofErr w:type="gramEnd"/>
      <w:r w:rsidR="002E35FF">
        <w:t xml:space="preserve"> </w:t>
      </w:r>
      <w:r w:rsidR="007A6EB7">
        <w:rPr>
          <w:i/>
        </w:rPr>
        <w:t>ω</w:t>
      </w:r>
      <w:r w:rsidR="002E35FF">
        <w:t xml:space="preserve"> is the weight factor and </w:t>
      </w:r>
      <w:proofErr w:type="spellStart"/>
      <w:r w:rsidR="002E35FF" w:rsidRPr="009F5BF5">
        <w:rPr>
          <w:i/>
        </w:rPr>
        <w:t>τ</w:t>
      </w:r>
      <w:r w:rsidR="002E35FF" w:rsidRPr="009F5BF5">
        <w:rPr>
          <w:i/>
          <w:vertAlign w:val="subscript"/>
        </w:rPr>
        <w:t>k</w:t>
      </w:r>
      <w:proofErr w:type="spellEnd"/>
      <w:r w:rsidR="002E35FF">
        <w:rPr>
          <w:i/>
        </w:rPr>
        <w:t xml:space="preserve"> </w:t>
      </w:r>
      <w:r w:rsidR="002E35FF">
        <w:t xml:space="preserve">the </w:t>
      </w:r>
      <w:r w:rsidR="002E35FF" w:rsidRPr="009873B7">
        <w:rPr>
          <w:i/>
        </w:rPr>
        <w:t>k</w:t>
      </w:r>
      <w:r w:rsidR="002E35FF">
        <w:t>-</w:t>
      </w:r>
      <w:proofErr w:type="spellStart"/>
      <w:r w:rsidR="002E35FF">
        <w:t>th</w:t>
      </w:r>
      <w:proofErr w:type="spellEnd"/>
      <w:r w:rsidR="002E35FF">
        <w:t xml:space="preserve"> tier correlation factor that reflects the sequence order correlation between all the </w:t>
      </w:r>
      <w:r w:rsidR="002E35FF" w:rsidRPr="009873B7">
        <w:rPr>
          <w:i/>
        </w:rPr>
        <w:t>k</w:t>
      </w:r>
      <w:r w:rsidR="002E35FF">
        <w:t>-</w:t>
      </w:r>
      <w:proofErr w:type="spellStart"/>
      <w:r w:rsidR="002E35FF">
        <w:t>th</w:t>
      </w:r>
      <w:proofErr w:type="spellEnd"/>
      <w:r w:rsidR="002E35FF">
        <w:t xml:space="preserve"> most contiguous residues as formulated by:</w:t>
      </w:r>
    </w:p>
    <w:p w:rsidR="002E35FF" w:rsidRDefault="00211040" w:rsidP="00E6005A">
      <w:pPr>
        <w:pStyle w:val="ListParagraph"/>
        <w:spacing w:line="480" w:lineRule="auto"/>
        <w:ind w:left="0"/>
        <w:jc w:val="center"/>
        <w:outlineLvl w:val="0"/>
      </w:pPr>
      <m:oMath>
        <m:sSub>
          <m:sSubPr>
            <m:ctrlPr>
              <w:rPr>
                <w:rFonts w:ascii="Cambria Math" w:eastAsia="Times New Roman" w:hAnsi="Cambria Math"/>
                <w:i/>
              </w:rPr>
            </m:ctrlPr>
          </m:sSubPr>
          <m:e>
            <m:r>
              <w:rPr>
                <w:rFonts w:ascii="Cambria Math" w:eastAsia="Times New Roman" w:hAnsi="Cambria Math"/>
              </w:rPr>
              <m:t>τ</m:t>
            </m:r>
          </m:e>
          <m:sub>
            <m:r>
              <w:rPr>
                <w:rFonts w:ascii="Cambria Math" w:eastAsia="Times New Roman" w:hAnsi="Cambria Math"/>
              </w:rPr>
              <m:t>k</m:t>
            </m:r>
          </m:sub>
        </m:sSub>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L-k</m:t>
            </m:r>
          </m:den>
        </m:f>
        <m:nary>
          <m:naryPr>
            <m:chr m:val="∑"/>
            <m:limLoc m:val="undOvr"/>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L-k</m:t>
            </m:r>
          </m:sup>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3</m:t>
                </m:r>
              </m:den>
            </m:f>
            <m:d>
              <m:dPr>
                <m:begChr m:val="{"/>
                <m:endChr m:val="}"/>
                <m:ctrlPr>
                  <w:rPr>
                    <w:rFonts w:ascii="Cambria Math" w:eastAsia="Times New Roman" w:hAnsi="Cambria Math"/>
                    <w:i/>
                  </w:rPr>
                </m:ctrlPr>
              </m:dPr>
              <m:e>
                <m:sSup>
                  <m:sSupPr>
                    <m:ctrlPr>
                      <w:rPr>
                        <w:rFonts w:ascii="Cambria Math" w:eastAsia="Times New Roman" w:hAnsi="Cambria Math"/>
                        <w:i/>
                      </w:rPr>
                    </m:ctrlPr>
                  </m:sSupPr>
                  <m:e>
                    <m:d>
                      <m:dPr>
                        <m:begChr m:val="["/>
                        <m:endChr m:val="]"/>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1</m:t>
                            </m:r>
                          </m:sub>
                        </m:sSub>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i+k</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1</m:t>
                            </m:r>
                          </m:sub>
                        </m:sSub>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m:t>
                                </m:r>
                              </m:sub>
                            </m:sSub>
                          </m:e>
                        </m:d>
                      </m:e>
                    </m:d>
                  </m:e>
                  <m:sup>
                    <m:r>
                      <w:rPr>
                        <w:rFonts w:ascii="Cambria Math" w:eastAsia="Times New Roman" w:hAnsi="Cambria Math"/>
                      </w:rPr>
                      <m:t>2</m:t>
                    </m:r>
                  </m:sup>
                </m:sSup>
                <m:r>
                  <w:rPr>
                    <w:rFonts w:ascii="Cambria Math" w:eastAsia="Times New Roman" w:hAnsi="Cambria Math"/>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2</m:t>
                            </m:r>
                          </m:sub>
                        </m:sSub>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i+k</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H</m:t>
                            </m:r>
                          </m:e>
                          <m:sub>
                            <m:r>
                              <w:rPr>
                                <w:rFonts w:ascii="Cambria Math" w:eastAsia="Times New Roman" w:hAnsi="Cambria Math"/>
                              </w:rPr>
                              <m:t>2</m:t>
                            </m:r>
                          </m:sub>
                        </m:sSub>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m:t>
                                </m:r>
                              </m:sub>
                            </m:sSub>
                          </m:e>
                        </m:d>
                      </m:e>
                    </m:d>
                  </m:e>
                  <m:sup>
                    <m:r>
                      <w:rPr>
                        <w:rFonts w:ascii="Cambria Math" w:eastAsia="Times New Roman" w:hAnsi="Cambria Math"/>
                      </w:rPr>
                      <m:t>2</m:t>
                    </m:r>
                  </m:sup>
                </m:sSup>
                <m:r>
                  <w:rPr>
                    <w:rFonts w:ascii="Cambria Math" w:eastAsia="Times New Roman" w:hAnsi="Cambria Math"/>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r>
                          <w:rPr>
                            <w:rFonts w:ascii="Cambria Math" w:eastAsia="Times New Roman" w:hAnsi="Cambria Math"/>
                          </w:rPr>
                          <m:t>M</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i+k</m:t>
                                </m:r>
                              </m:sub>
                            </m:sSub>
                          </m:e>
                        </m:d>
                        <m:r>
                          <w:rPr>
                            <w:rFonts w:ascii="Cambria Math" w:eastAsia="Times New Roman" w:hAnsi="Cambria Math"/>
                          </w:rPr>
                          <m:t>-M</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m:t>
                                </m:r>
                              </m:sub>
                            </m:sSub>
                          </m:e>
                        </m:d>
                      </m:e>
                    </m:d>
                  </m:e>
                  <m:sup>
                    <m:r>
                      <w:rPr>
                        <w:rFonts w:ascii="Cambria Math" w:eastAsia="Times New Roman" w:hAnsi="Cambria Math"/>
                      </w:rPr>
                      <m:t>2</m:t>
                    </m:r>
                  </m:sup>
                </m:sSup>
              </m:e>
            </m:d>
          </m:e>
        </m:nary>
      </m:oMath>
      <w:r w:rsidR="00E6005A">
        <w:t xml:space="preserve">  (4)</w:t>
      </w:r>
    </w:p>
    <w:p w:rsidR="007B2EE0" w:rsidRDefault="007B2EE0" w:rsidP="00BD71DD">
      <w:pPr>
        <w:pStyle w:val="ListParagraph"/>
        <w:spacing w:line="480" w:lineRule="auto"/>
        <w:ind w:left="0"/>
        <w:jc w:val="both"/>
        <w:outlineLvl w:val="0"/>
      </w:pPr>
    </w:p>
    <w:p w:rsidR="002E35FF" w:rsidRPr="004F7124" w:rsidRDefault="008F4005" w:rsidP="00BD71DD">
      <w:pPr>
        <w:pStyle w:val="ListParagraph"/>
        <w:spacing w:line="480" w:lineRule="auto"/>
        <w:ind w:left="0"/>
        <w:jc w:val="both"/>
        <w:outlineLvl w:val="0"/>
      </w:pPr>
      <w:r>
        <w:t>w</w:t>
      </w:r>
      <w:r w:rsidR="002E35FF">
        <w:t>here H</w:t>
      </w:r>
      <w:r w:rsidR="002E35FF">
        <w:rPr>
          <w:vertAlign w:val="subscript"/>
        </w:rPr>
        <w:t>1</w:t>
      </w:r>
      <w:r w:rsidR="002E35FF">
        <w:t>(</w:t>
      </w:r>
      <w:proofErr w:type="spellStart"/>
      <w:r w:rsidR="002E35FF">
        <w:t>R</w:t>
      </w:r>
      <w:r w:rsidR="002E35FF" w:rsidRPr="008F4005">
        <w:rPr>
          <w:i/>
          <w:vertAlign w:val="subscript"/>
        </w:rPr>
        <w:t>i</w:t>
      </w:r>
      <w:proofErr w:type="spellEnd"/>
      <w:r w:rsidR="002E35FF">
        <w:t>), H</w:t>
      </w:r>
      <w:r w:rsidR="002E35FF" w:rsidRPr="004F7124">
        <w:rPr>
          <w:vertAlign w:val="subscript"/>
        </w:rPr>
        <w:t>2</w:t>
      </w:r>
      <w:r w:rsidR="002E35FF">
        <w:t>(</w:t>
      </w:r>
      <w:proofErr w:type="spellStart"/>
      <w:r w:rsidR="002E35FF">
        <w:t>R</w:t>
      </w:r>
      <w:r w:rsidR="002E35FF" w:rsidRPr="008F4005">
        <w:rPr>
          <w:i/>
          <w:vertAlign w:val="subscript"/>
        </w:rPr>
        <w:t>i</w:t>
      </w:r>
      <w:proofErr w:type="spellEnd"/>
      <w:r w:rsidR="002E35FF">
        <w:t>) and M(</w:t>
      </w:r>
      <w:proofErr w:type="spellStart"/>
      <w:r w:rsidR="002E35FF">
        <w:t>R</w:t>
      </w:r>
      <w:r w:rsidR="002E35FF" w:rsidRPr="008F4005">
        <w:rPr>
          <w:i/>
          <w:vertAlign w:val="subscript"/>
        </w:rPr>
        <w:t>i</w:t>
      </w:r>
      <w:proofErr w:type="spellEnd"/>
      <w:r w:rsidR="002E35FF">
        <w:t>) are respectively the normalized hydrophobicity value, hydrophilicity value and the side cha</w:t>
      </w:r>
      <w:r w:rsidR="00693FFB">
        <w:t xml:space="preserve">in mass for amino acid residue </w:t>
      </w:r>
      <w:proofErr w:type="spellStart"/>
      <w:r w:rsidR="002E35FF" w:rsidRPr="00693FFB">
        <w:rPr>
          <w:i/>
        </w:rPr>
        <w:t>R</w:t>
      </w:r>
      <w:r w:rsidR="002E35FF" w:rsidRPr="00693FFB">
        <w:rPr>
          <w:i/>
          <w:vertAlign w:val="subscript"/>
        </w:rPr>
        <w:t>i</w:t>
      </w:r>
      <w:proofErr w:type="spellEnd"/>
      <w:r w:rsidR="002E35FF">
        <w:t>; while H</w:t>
      </w:r>
      <w:r w:rsidR="002E35FF">
        <w:rPr>
          <w:vertAlign w:val="subscript"/>
        </w:rPr>
        <w:t>1</w:t>
      </w:r>
      <w:r w:rsidR="002E35FF">
        <w:t>(</w:t>
      </w:r>
      <w:proofErr w:type="spellStart"/>
      <w:r w:rsidR="002E35FF">
        <w:t>R</w:t>
      </w:r>
      <w:r w:rsidR="002E35FF" w:rsidRPr="008F4005">
        <w:rPr>
          <w:i/>
          <w:vertAlign w:val="subscript"/>
        </w:rPr>
        <w:t>i+k</w:t>
      </w:r>
      <w:proofErr w:type="spellEnd"/>
      <w:r w:rsidR="002E35FF">
        <w:t>) H</w:t>
      </w:r>
      <w:r w:rsidR="002E35FF">
        <w:rPr>
          <w:vertAlign w:val="subscript"/>
        </w:rPr>
        <w:t>2</w:t>
      </w:r>
      <w:r w:rsidR="002E35FF">
        <w:t>(</w:t>
      </w:r>
      <w:proofErr w:type="spellStart"/>
      <w:r w:rsidR="002E35FF">
        <w:t>R</w:t>
      </w:r>
      <w:r w:rsidR="002E35FF" w:rsidRPr="008F4005">
        <w:rPr>
          <w:i/>
          <w:vertAlign w:val="subscript"/>
        </w:rPr>
        <w:t>i+k</w:t>
      </w:r>
      <w:proofErr w:type="spellEnd"/>
      <w:r w:rsidR="002E35FF">
        <w:t>)</w:t>
      </w:r>
      <w:r w:rsidR="002E35FF" w:rsidRPr="004F7124">
        <w:t xml:space="preserve"> </w:t>
      </w:r>
      <w:r w:rsidR="002E35FF">
        <w:t>M(</w:t>
      </w:r>
      <w:proofErr w:type="spellStart"/>
      <w:r w:rsidR="002E35FF">
        <w:t>R</w:t>
      </w:r>
      <w:r w:rsidR="002E35FF" w:rsidRPr="008F4005">
        <w:rPr>
          <w:i/>
          <w:vertAlign w:val="subscript"/>
        </w:rPr>
        <w:t>i+k</w:t>
      </w:r>
      <w:proofErr w:type="spellEnd"/>
      <w:r w:rsidR="002E35FF">
        <w:t xml:space="preserve">) are those for amino acid residue </w:t>
      </w:r>
      <w:proofErr w:type="spellStart"/>
      <w:r w:rsidR="002E35FF" w:rsidRPr="00693FFB">
        <w:rPr>
          <w:i/>
        </w:rPr>
        <w:t>R</w:t>
      </w:r>
      <w:r w:rsidR="002E35FF" w:rsidRPr="00693FFB">
        <w:rPr>
          <w:i/>
          <w:vertAlign w:val="subscript"/>
        </w:rPr>
        <w:t>i+k</w:t>
      </w:r>
      <w:proofErr w:type="spellEnd"/>
      <w:r w:rsidR="002E35FF">
        <w:t xml:space="preserve">.  </w:t>
      </w:r>
    </w:p>
    <w:p w:rsidR="00B76C87" w:rsidRDefault="00B76C87" w:rsidP="00BD71DD">
      <w:pPr>
        <w:pStyle w:val="ListParagraph"/>
        <w:spacing w:line="480" w:lineRule="auto"/>
        <w:ind w:left="0"/>
        <w:jc w:val="both"/>
      </w:pPr>
    </w:p>
    <w:p w:rsidR="002E35FF" w:rsidRPr="004F7124" w:rsidRDefault="002E35FF" w:rsidP="00BD71DD">
      <w:pPr>
        <w:pStyle w:val="ListParagraph"/>
        <w:spacing w:line="480" w:lineRule="auto"/>
        <w:ind w:left="0"/>
        <w:jc w:val="both"/>
      </w:pPr>
      <w:r>
        <w:t>In the amphiphilic mode</w:t>
      </w:r>
      <w:r w:rsidR="0055483C">
        <w:t xml:space="preserve"> (Type 2)</w:t>
      </w:r>
      <w:r>
        <w:t xml:space="preserve">, the given protein </w:t>
      </w:r>
      <w:r w:rsidRPr="004F7124">
        <w:rPr>
          <w:b/>
        </w:rPr>
        <w:t>P</w:t>
      </w:r>
      <w:r>
        <w:rPr>
          <w:b/>
        </w:rPr>
        <w:t xml:space="preserve"> </w:t>
      </w:r>
      <w:r>
        <w:t>can be represented as:</w:t>
      </w:r>
    </w:p>
    <w:p w:rsidR="002E35FF" w:rsidRDefault="002E35FF" w:rsidP="00E6005A">
      <w:pPr>
        <w:pStyle w:val="ListParagraph"/>
        <w:spacing w:line="480" w:lineRule="auto"/>
        <w:ind w:left="0"/>
        <w:jc w:val="center"/>
        <w:rPr>
          <w:rFonts w:eastAsia="Times New Roman"/>
        </w:rPr>
      </w:pPr>
      <m:oMath>
        <m:r>
          <m:rPr>
            <m:sty m:val="bi"/>
          </m:rPr>
          <w:rPr>
            <w:rFonts w:ascii="Cambria Math" w:hAnsi="Cambria Math"/>
          </w:rPr>
          <m:t>P</m:t>
        </m:r>
        <m:r>
          <w:rPr>
            <w:rFonts w:ascii="Cambria Math" w:hAnsi="Cambria Math"/>
          </w:rPr>
          <m:t>=[</m:t>
        </m:r>
        <m:sSup>
          <m:sSupPr>
            <m:ctrlPr>
              <w:rPr>
                <w:rFonts w:ascii="Cambria Math" w:eastAsiaTheme="minorHAnsi" w:hAnsi="Cambria Math"/>
                <w:i/>
              </w:rPr>
            </m:ctrlPr>
          </m:sSupPr>
          <m:e>
            <m:sSub>
              <m:sSubPr>
                <m:ctrlPr>
                  <w:rPr>
                    <w:rFonts w:ascii="Cambria Math" w:eastAsiaTheme="minorHAnsi"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20+1</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20+2λ</m:t>
                </m:r>
              </m:sub>
            </m:sSub>
            <m:r>
              <w:rPr>
                <w:rFonts w:ascii="Cambria Math" w:hAnsi="Cambria Math"/>
              </w:rPr>
              <m:t>]</m:t>
            </m:r>
          </m:e>
          <m:sup>
            <m:r>
              <w:rPr>
                <w:rFonts w:ascii="Cambria Math" w:hAnsi="Cambria Math"/>
              </w:rPr>
              <m:t>T</m:t>
            </m:r>
          </m:sup>
        </m:sSup>
        <m:r>
          <w:rPr>
            <w:rFonts w:ascii="Cambria Math" w:hAnsi="Cambria Math"/>
          </w:rPr>
          <m:t>,    (λ&lt;L)</m:t>
        </m:r>
      </m:oMath>
      <w:r w:rsidR="00E6005A">
        <w:rPr>
          <w:rFonts w:eastAsia="Times New Roman"/>
        </w:rPr>
        <w:t xml:space="preserve">          (5)</w:t>
      </w:r>
    </w:p>
    <w:p w:rsidR="002E35FF" w:rsidRDefault="002E35FF" w:rsidP="00BD71DD">
      <w:pPr>
        <w:spacing w:line="480" w:lineRule="auto"/>
      </w:pPr>
      <w:proofErr w:type="gramStart"/>
      <w:r>
        <w:lastRenderedPageBreak/>
        <w:t>where</w:t>
      </w:r>
      <w:proofErr w:type="gramEnd"/>
      <w:r>
        <w:t xml:space="preserve"> the 20 + 2λ</w:t>
      </w:r>
      <w:r w:rsidRPr="005A08CD">
        <w:t xml:space="preserve"> components are given by</w:t>
      </w:r>
      <w:r w:rsidR="008F4005">
        <w:t>:</w:t>
      </w:r>
    </w:p>
    <w:p w:rsidR="002E35FF" w:rsidRDefault="00211040" w:rsidP="00E6005A">
      <w:pPr>
        <w:pStyle w:val="ListParagraph"/>
        <w:spacing w:line="480" w:lineRule="auto"/>
        <w:ind w:left="0"/>
        <w:jc w:val="center"/>
      </w:pPr>
      <m:oMath>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v</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20</m:t>
                          </m:r>
                        </m:sup>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+ω</m:t>
                          </m:r>
                          <m:nary>
                            <m:naryPr>
                              <m:chr m:val="∑"/>
                              <m:limLoc m:val="undOvr"/>
                              <m:ctrlPr>
                                <w:rPr>
                                  <w:rFonts w:ascii="Cambria Math" w:hAnsi="Cambria Math"/>
                                  <w:i/>
                                </w:rPr>
                              </m:ctrlPr>
                            </m:naryPr>
                            <m:sub>
                              <m:r>
                                <w:rPr>
                                  <w:rFonts w:ascii="Cambria Math" w:hAnsi="Cambria Math"/>
                                </w:rPr>
                                <m:t>j=1</m:t>
                              </m:r>
                            </m:sub>
                            <m:sup>
                              <m:r>
                                <w:rPr>
                                  <w:rFonts w:ascii="Cambria Math" w:hAnsi="Cambria Math"/>
                                </w:rPr>
                                <m:t>2λ</m:t>
                              </m:r>
                            </m:sup>
                            <m:e>
                              <m:sSub>
                                <m:sSubPr>
                                  <m:ctrlPr>
                                    <w:rPr>
                                      <w:rFonts w:ascii="Cambria Math" w:hAnsi="Cambria Math"/>
                                      <w:i/>
                                    </w:rPr>
                                  </m:ctrlPr>
                                </m:sSubPr>
                                <m:e>
                                  <m:r>
                                    <w:rPr>
                                      <w:rFonts w:ascii="Cambria Math" w:hAnsi="Cambria Math"/>
                                    </w:rPr>
                                    <m:t>τ</m:t>
                                  </m:r>
                                </m:e>
                                <m:sub>
                                  <m:r>
                                    <w:rPr>
                                      <w:rFonts w:ascii="Cambria Math" w:hAnsi="Cambria Math"/>
                                    </w:rPr>
                                    <m:t>j</m:t>
                                  </m:r>
                                </m:sub>
                              </m:sSub>
                            </m:e>
                          </m:nary>
                        </m:e>
                      </m:nary>
                    </m:den>
                  </m:f>
                  <m:r>
                    <w:rPr>
                      <w:rFonts w:ascii="Cambria Math" w:hAnsi="Cambria Math"/>
                    </w:rPr>
                    <m:t>,                        (1≤v≤20)</m:t>
                  </m:r>
                </m:e>
              </m:mr>
              <m:mr>
                <m:e>
                  <m:f>
                    <m:fPr>
                      <m:ctrlPr>
                        <w:rPr>
                          <w:rFonts w:ascii="Cambria Math" w:hAnsi="Cambria Math"/>
                          <w:i/>
                        </w:rPr>
                      </m:ctrlPr>
                    </m:fPr>
                    <m:num>
                      <m:r>
                        <w:rPr>
                          <w:rFonts w:ascii="Cambria Math" w:hAnsi="Cambria Math"/>
                        </w:rPr>
                        <m:t>ω</m:t>
                      </m:r>
                      <m:sSub>
                        <m:sSubPr>
                          <m:ctrlPr>
                            <w:rPr>
                              <w:rFonts w:ascii="Cambria Math" w:hAnsi="Cambria Math"/>
                              <w:i/>
                            </w:rPr>
                          </m:ctrlPr>
                        </m:sSubPr>
                        <m:e>
                          <m:r>
                            <w:rPr>
                              <w:rFonts w:ascii="Cambria Math" w:hAnsi="Cambria Math"/>
                            </w:rPr>
                            <m:t>τ</m:t>
                          </m:r>
                        </m:e>
                        <m:sub>
                          <m:r>
                            <w:rPr>
                              <w:rFonts w:ascii="Cambria Math" w:hAnsi="Cambria Math"/>
                            </w:rPr>
                            <m:t>v</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20</m:t>
                          </m:r>
                        </m:sup>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+ω</m:t>
                          </m:r>
                          <m:nary>
                            <m:naryPr>
                              <m:chr m:val="∑"/>
                              <m:limLoc m:val="undOvr"/>
                              <m:ctrlPr>
                                <w:rPr>
                                  <w:rFonts w:ascii="Cambria Math" w:hAnsi="Cambria Math"/>
                                  <w:i/>
                                </w:rPr>
                              </m:ctrlPr>
                            </m:naryPr>
                            <m:sub>
                              <m:r>
                                <w:rPr>
                                  <w:rFonts w:ascii="Cambria Math" w:hAnsi="Cambria Math"/>
                                </w:rPr>
                                <m:t>j=1</m:t>
                              </m:r>
                            </m:sub>
                            <m:sup>
                              <m:r>
                                <w:rPr>
                                  <w:rFonts w:ascii="Cambria Math" w:hAnsi="Cambria Math"/>
                                </w:rPr>
                                <m:t>2λ</m:t>
                              </m:r>
                            </m:sup>
                            <m:e>
                              <m:sSub>
                                <m:sSubPr>
                                  <m:ctrlPr>
                                    <w:rPr>
                                      <w:rFonts w:ascii="Cambria Math" w:hAnsi="Cambria Math"/>
                                      <w:i/>
                                    </w:rPr>
                                  </m:ctrlPr>
                                </m:sSubPr>
                                <m:e>
                                  <m:r>
                                    <w:rPr>
                                      <w:rFonts w:ascii="Cambria Math" w:hAnsi="Cambria Math"/>
                                    </w:rPr>
                                    <m:t>τ</m:t>
                                  </m:r>
                                </m:e>
                                <m:sub>
                                  <m:r>
                                    <w:rPr>
                                      <w:rFonts w:ascii="Cambria Math" w:hAnsi="Cambria Math"/>
                                    </w:rPr>
                                    <m:t>j</m:t>
                                  </m:r>
                                </m:sub>
                              </m:sSub>
                            </m:e>
                          </m:nary>
                        </m:e>
                      </m:nary>
                    </m:den>
                  </m:f>
                  <m:r>
                    <w:rPr>
                      <w:rFonts w:ascii="Cambria Math" w:hAnsi="Cambria Math"/>
                    </w:rPr>
                    <m:t>,       (20+1≤v≤20+2λ)</m:t>
                  </m:r>
                </m:e>
              </m:mr>
            </m:m>
          </m:e>
        </m:d>
      </m:oMath>
      <w:r w:rsidR="00E6005A">
        <w:t xml:space="preserve">       (6)</w:t>
      </w:r>
    </w:p>
    <w:p w:rsidR="002E35FF" w:rsidRPr="004F7124" w:rsidRDefault="002E35FF" w:rsidP="00BD71DD">
      <w:pPr>
        <w:pStyle w:val="ListParagraph"/>
        <w:spacing w:line="480" w:lineRule="auto"/>
        <w:ind w:left="0"/>
        <w:jc w:val="both"/>
        <w:rPr>
          <w:rFonts w:eastAsia="Times New Roman"/>
        </w:rPr>
      </w:pPr>
      <w:r>
        <w:rPr>
          <w:rFonts w:eastAsia="Times New Roman"/>
        </w:rPr>
        <w:t xml:space="preserve">And </w:t>
      </w:r>
      <w:proofErr w:type="spellStart"/>
      <w:r>
        <w:rPr>
          <w:rFonts w:eastAsia="Times New Roman"/>
        </w:rPr>
        <w:t>τ</w:t>
      </w:r>
      <w:r>
        <w:rPr>
          <w:rFonts w:eastAsia="Times New Roman"/>
          <w:vertAlign w:val="subscript"/>
        </w:rPr>
        <w:t>j</w:t>
      </w:r>
      <w:proofErr w:type="spellEnd"/>
      <w:r>
        <w:rPr>
          <w:rFonts w:eastAsia="Times New Roman"/>
          <w:vertAlign w:val="subscript"/>
        </w:rPr>
        <w:t xml:space="preserve"> </w:t>
      </w:r>
      <w:r>
        <w:rPr>
          <w:rFonts w:eastAsia="Times New Roman"/>
        </w:rPr>
        <w:t>can be represented as follows:</w:t>
      </w:r>
    </w:p>
    <w:p w:rsidR="002E35FF" w:rsidRDefault="00211040" w:rsidP="00E6005A">
      <w:pPr>
        <w:spacing w:line="480" w:lineRule="auto"/>
        <w:jc w:val="center"/>
        <w:rPr>
          <w:rFonts w:eastAsiaTheme="minorEastAsia"/>
        </w:rPr>
      </w:pPr>
      <m:oMath>
        <m:sSub>
          <m:sSubPr>
            <m:ctrlPr>
              <w:rPr>
                <w:rFonts w:ascii="Cambria Math" w:eastAsia="Times New Roman" w:hAnsi="Cambria Math"/>
                <w:i/>
              </w:rPr>
            </m:ctrlPr>
          </m:sSubPr>
          <m:e>
            <m:r>
              <w:rPr>
                <w:rFonts w:ascii="Cambria Math" w:eastAsia="Times New Roman" w:hAnsi="Cambria Math"/>
              </w:rPr>
              <m:t>τ</m:t>
            </m:r>
          </m:e>
          <m:sub>
            <m:r>
              <w:rPr>
                <w:rFonts w:ascii="Cambria Math" w:eastAsia="Times New Roman" w:hAnsi="Cambria Math"/>
              </w:rPr>
              <m:t>m</m:t>
            </m:r>
          </m:sub>
        </m:sSub>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L-l</m:t>
            </m:r>
          </m:den>
        </m:f>
        <m:nary>
          <m:naryPr>
            <m:chr m:val="∑"/>
            <m:limLoc m:val="undOvr"/>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L-l</m:t>
            </m:r>
          </m:sup>
          <m:e>
            <m:sSup>
              <m:sSupPr>
                <m:ctrlPr>
                  <w:rPr>
                    <w:rFonts w:ascii="Cambria Math" w:eastAsia="Times New Roman" w:hAnsi="Cambria Math"/>
                    <w:i/>
                  </w:rPr>
                </m:ctrlPr>
              </m:sSupPr>
              <m:e>
                <m:r>
                  <w:rPr>
                    <w:rFonts w:ascii="Cambria Math" w:eastAsia="Times New Roman" w:hAnsi="Cambria Math"/>
                  </w:rPr>
                  <m:t>h</m:t>
                </m:r>
              </m:e>
              <m:sup>
                <m:r>
                  <w:rPr>
                    <w:rFonts w:ascii="Cambria Math" w:eastAsia="Times New Roman" w:hAnsi="Cambria Math"/>
                  </w:rPr>
                  <m:t>1</m:t>
                </m:r>
              </m:sup>
            </m:sSup>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m:t>
                    </m:r>
                  </m:sub>
                </m:sSub>
              </m:e>
            </m:d>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h</m:t>
                </m:r>
              </m:e>
              <m:sup>
                <m:r>
                  <w:rPr>
                    <w:rFonts w:ascii="Cambria Math" w:eastAsia="Times New Roman" w:hAnsi="Cambria Math"/>
                  </w:rPr>
                  <m:t>1</m:t>
                </m:r>
              </m:sup>
            </m:sSup>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i+l</m:t>
                    </m:r>
                  </m:sub>
                </m:sSub>
              </m:e>
            </m:d>
          </m:e>
        </m:nary>
      </m:oMath>
      <w:r w:rsidR="00E6005A">
        <w:rPr>
          <w:rFonts w:eastAsiaTheme="minorEastAsia"/>
        </w:rPr>
        <w:t xml:space="preserve">              (7)</w:t>
      </w:r>
    </w:p>
    <w:p w:rsidR="002E35FF" w:rsidRDefault="00211040" w:rsidP="00E6005A">
      <w:pPr>
        <w:spacing w:line="480" w:lineRule="auto"/>
        <w:jc w:val="center"/>
        <w:rPr>
          <w:rFonts w:eastAsiaTheme="minorEastAsia"/>
        </w:rPr>
      </w:pPr>
      <m:oMath>
        <m:sSub>
          <m:sSubPr>
            <m:ctrlPr>
              <w:rPr>
                <w:rFonts w:ascii="Cambria Math" w:eastAsia="Times New Roman" w:hAnsi="Cambria Math"/>
                <w:i/>
              </w:rPr>
            </m:ctrlPr>
          </m:sSubPr>
          <m:e>
            <m:r>
              <w:rPr>
                <w:rFonts w:ascii="Cambria Math" w:eastAsia="Times New Roman" w:hAnsi="Cambria Math"/>
              </w:rPr>
              <m:t>τ</m:t>
            </m:r>
          </m:e>
          <m:sub>
            <m:r>
              <w:rPr>
                <w:rFonts w:ascii="Cambria Math" w:eastAsia="Times New Roman" w:hAnsi="Cambria Math"/>
              </w:rPr>
              <m:t>n</m:t>
            </m:r>
          </m:sub>
        </m:sSub>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L-l</m:t>
            </m:r>
          </m:den>
        </m:f>
        <m:nary>
          <m:naryPr>
            <m:chr m:val="∑"/>
            <m:limLoc m:val="undOvr"/>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L-l</m:t>
            </m:r>
          </m:sup>
          <m:e>
            <m:sSup>
              <m:sSupPr>
                <m:ctrlPr>
                  <w:rPr>
                    <w:rFonts w:ascii="Cambria Math" w:eastAsia="Times New Roman" w:hAnsi="Cambria Math"/>
                    <w:i/>
                  </w:rPr>
                </m:ctrlPr>
              </m:sSupPr>
              <m:e>
                <m:r>
                  <w:rPr>
                    <w:rFonts w:ascii="Cambria Math" w:eastAsia="Times New Roman" w:hAnsi="Cambria Math"/>
                  </w:rPr>
                  <m:t>h</m:t>
                </m:r>
              </m:e>
              <m:sup>
                <m:r>
                  <w:rPr>
                    <w:rFonts w:ascii="Cambria Math" w:eastAsia="Times New Roman" w:hAnsi="Cambria Math"/>
                  </w:rPr>
                  <m:t>2</m:t>
                </m:r>
              </m:sup>
            </m:sSup>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m:t>
                    </m:r>
                  </m:sub>
                </m:sSub>
              </m:e>
            </m:d>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h</m:t>
                </m:r>
              </m:e>
              <m:sup>
                <m:r>
                  <w:rPr>
                    <w:rFonts w:ascii="Cambria Math" w:eastAsia="Times New Roman" w:hAnsi="Cambria Math"/>
                  </w:rPr>
                  <m:t>2</m:t>
                </m:r>
              </m:sup>
            </m:sSup>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i+l</m:t>
                    </m:r>
                  </m:sub>
                </m:sSub>
              </m:e>
            </m:d>
          </m:e>
        </m:nary>
      </m:oMath>
      <w:r w:rsidR="00E6005A">
        <w:rPr>
          <w:rFonts w:eastAsiaTheme="minorEastAsia"/>
        </w:rPr>
        <w:t xml:space="preserve">               (8)</w:t>
      </w:r>
    </w:p>
    <w:p w:rsidR="002E35FF" w:rsidRPr="00AA4813" w:rsidRDefault="008F4005" w:rsidP="00BD71DD">
      <w:pPr>
        <w:spacing w:line="480" w:lineRule="auto"/>
        <w:rPr>
          <w:rFonts w:eastAsiaTheme="minorEastAsia"/>
        </w:rPr>
      </w:pPr>
      <w:proofErr w:type="gramStart"/>
      <w:r>
        <w:rPr>
          <w:rFonts w:eastAsiaTheme="minorEastAsia"/>
        </w:rPr>
        <w:t>w</w:t>
      </w:r>
      <w:r w:rsidR="002E35FF">
        <w:rPr>
          <w:rFonts w:eastAsiaTheme="minorEastAsia"/>
        </w:rPr>
        <w:t>here</w:t>
      </w:r>
      <w:proofErr w:type="gramEnd"/>
      <w:r w:rsidR="002E35FF">
        <w:rPr>
          <w:rFonts w:eastAsiaTheme="minorEastAsia"/>
        </w:rPr>
        <w:t xml:space="preserve"> </w:t>
      </w:r>
      <w:r w:rsidR="002E35FF" w:rsidRPr="00AA4813">
        <w:rPr>
          <w:rFonts w:eastAsiaTheme="minorEastAsia"/>
          <w:i/>
        </w:rPr>
        <w:t>m</w:t>
      </w:r>
      <w:r w:rsidR="00693FFB">
        <w:rPr>
          <w:rFonts w:eastAsiaTheme="minorEastAsia"/>
        </w:rPr>
        <w:t xml:space="preserve"> = 1, 3, 5, …</w:t>
      </w:r>
      <w:r w:rsidR="002E35FF">
        <w:rPr>
          <w:rFonts w:eastAsiaTheme="minorEastAsia"/>
        </w:rPr>
        <w:t xml:space="preserve">, (2λ-1); </w:t>
      </w:r>
      <w:r w:rsidR="002E35FF" w:rsidRPr="00AA4813">
        <w:rPr>
          <w:rFonts w:eastAsiaTheme="minorEastAsia"/>
          <w:i/>
        </w:rPr>
        <w:t>n</w:t>
      </w:r>
      <w:r w:rsidR="002E35FF">
        <w:rPr>
          <w:rFonts w:eastAsiaTheme="minorEastAsia"/>
        </w:rPr>
        <w:t xml:space="preserve"> = 2, 4, 6, </w:t>
      </w:r>
      <w:r w:rsidR="00693FFB">
        <w:rPr>
          <w:rFonts w:eastAsiaTheme="minorEastAsia"/>
        </w:rPr>
        <w:t>…</w:t>
      </w:r>
      <w:r w:rsidR="002E35FF">
        <w:rPr>
          <w:rFonts w:eastAsiaTheme="minorEastAsia"/>
        </w:rPr>
        <w:t xml:space="preserve">, 2λ and </w:t>
      </w:r>
      <w:r w:rsidR="002E35FF" w:rsidRPr="00AA4813">
        <w:rPr>
          <w:rFonts w:eastAsiaTheme="minorEastAsia"/>
          <w:i/>
        </w:rPr>
        <w:t>l</w:t>
      </w:r>
      <w:r w:rsidR="002E35FF">
        <w:rPr>
          <w:rFonts w:eastAsiaTheme="minorEastAsia"/>
        </w:rPr>
        <w:t xml:space="preserve"> = 1,</w:t>
      </w:r>
      <w:r w:rsidR="00693FFB">
        <w:rPr>
          <w:rFonts w:eastAsiaTheme="minorEastAsia"/>
        </w:rPr>
        <w:t xml:space="preserve"> </w:t>
      </w:r>
      <w:r w:rsidR="002E35FF">
        <w:rPr>
          <w:rFonts w:eastAsiaTheme="minorEastAsia"/>
        </w:rPr>
        <w:t>2,</w:t>
      </w:r>
      <w:r w:rsidR="00693FFB">
        <w:rPr>
          <w:rFonts w:eastAsiaTheme="minorEastAsia"/>
        </w:rPr>
        <w:t xml:space="preserve"> </w:t>
      </w:r>
      <w:r w:rsidR="002E35FF">
        <w:rPr>
          <w:rFonts w:eastAsiaTheme="minorEastAsia"/>
        </w:rPr>
        <w:t>3,</w:t>
      </w:r>
      <w:r w:rsidR="00693FFB">
        <w:rPr>
          <w:rFonts w:eastAsiaTheme="minorEastAsia"/>
        </w:rPr>
        <w:t xml:space="preserve"> </w:t>
      </w:r>
      <w:r w:rsidR="002E35FF">
        <w:rPr>
          <w:rFonts w:eastAsiaTheme="minorEastAsia"/>
        </w:rPr>
        <w:t>4,</w:t>
      </w:r>
      <w:r w:rsidR="00693FFB">
        <w:rPr>
          <w:rFonts w:eastAsiaTheme="minorEastAsia"/>
        </w:rPr>
        <w:t xml:space="preserve"> …</w:t>
      </w:r>
      <w:r w:rsidR="002E35FF">
        <w:rPr>
          <w:rFonts w:eastAsiaTheme="minorEastAsia"/>
        </w:rPr>
        <w:t>λ  (λ&lt; L). The values of h</w:t>
      </w:r>
      <w:r w:rsidR="002E35FF">
        <w:rPr>
          <w:rFonts w:eastAsiaTheme="minorEastAsia"/>
          <w:vertAlign w:val="superscript"/>
        </w:rPr>
        <w:t>1</w:t>
      </w:r>
      <w:r w:rsidR="002E35FF">
        <w:rPr>
          <w:rFonts w:eastAsiaTheme="minorEastAsia"/>
        </w:rPr>
        <w:t>(</w:t>
      </w:r>
      <w:proofErr w:type="spellStart"/>
      <w:r w:rsidR="002E35FF">
        <w:rPr>
          <w:rFonts w:eastAsiaTheme="minorEastAsia"/>
        </w:rPr>
        <w:t>R</w:t>
      </w:r>
      <w:r w:rsidR="002E35FF" w:rsidRPr="00607C22">
        <w:rPr>
          <w:rFonts w:eastAsiaTheme="minorEastAsia"/>
          <w:i/>
          <w:vertAlign w:val="subscript"/>
        </w:rPr>
        <w:t>i</w:t>
      </w:r>
      <w:proofErr w:type="spellEnd"/>
      <w:r w:rsidR="002E35FF">
        <w:rPr>
          <w:rFonts w:eastAsiaTheme="minorEastAsia"/>
        </w:rPr>
        <w:t>) and h</w:t>
      </w:r>
      <w:r w:rsidR="002E35FF">
        <w:rPr>
          <w:rFonts w:eastAsiaTheme="minorEastAsia"/>
          <w:vertAlign w:val="superscript"/>
        </w:rPr>
        <w:t>2</w:t>
      </w:r>
      <w:r w:rsidR="002E35FF">
        <w:rPr>
          <w:rFonts w:eastAsiaTheme="minorEastAsia"/>
        </w:rPr>
        <w:t>(</w:t>
      </w:r>
      <w:proofErr w:type="spellStart"/>
      <w:r w:rsidR="002E35FF">
        <w:rPr>
          <w:rFonts w:eastAsiaTheme="minorEastAsia"/>
        </w:rPr>
        <w:t>R</w:t>
      </w:r>
      <w:r w:rsidR="002E35FF" w:rsidRPr="00607C22">
        <w:rPr>
          <w:rFonts w:eastAsiaTheme="minorEastAsia"/>
          <w:i/>
          <w:vertAlign w:val="subscript"/>
        </w:rPr>
        <w:t>i</w:t>
      </w:r>
      <w:proofErr w:type="spellEnd"/>
      <w:r w:rsidR="002E35FF">
        <w:rPr>
          <w:rFonts w:eastAsiaTheme="minorEastAsia"/>
        </w:rPr>
        <w:t>) represent the normalized hydrophobicity and hydrophilicity pr</w:t>
      </w:r>
      <w:r w:rsidR="00693FFB">
        <w:rPr>
          <w:rFonts w:eastAsiaTheme="minorEastAsia"/>
        </w:rPr>
        <w:t xml:space="preserve">operties of amino acid residue </w:t>
      </w:r>
      <w:proofErr w:type="spellStart"/>
      <w:r w:rsidR="002E35FF" w:rsidRPr="00693FFB">
        <w:rPr>
          <w:rFonts w:eastAsiaTheme="minorEastAsia"/>
          <w:i/>
        </w:rPr>
        <w:t>R</w:t>
      </w:r>
      <w:r w:rsidR="002E35FF" w:rsidRPr="00693FFB">
        <w:rPr>
          <w:rFonts w:eastAsiaTheme="minorEastAsia"/>
          <w:i/>
          <w:vertAlign w:val="subscript"/>
        </w:rPr>
        <w:t>i</w:t>
      </w:r>
      <w:proofErr w:type="spellEnd"/>
      <w:r w:rsidR="002E35FF">
        <w:rPr>
          <w:rFonts w:eastAsiaTheme="minorEastAsia"/>
        </w:rPr>
        <w:t>; while h</w:t>
      </w:r>
      <w:r w:rsidR="002E35FF">
        <w:rPr>
          <w:rFonts w:eastAsiaTheme="minorEastAsia"/>
          <w:vertAlign w:val="superscript"/>
        </w:rPr>
        <w:t>1</w:t>
      </w:r>
      <w:r w:rsidR="002E35FF">
        <w:rPr>
          <w:rFonts w:eastAsiaTheme="minorEastAsia"/>
        </w:rPr>
        <w:t>(</w:t>
      </w:r>
      <w:proofErr w:type="spellStart"/>
      <w:r w:rsidR="002E35FF">
        <w:rPr>
          <w:rFonts w:eastAsiaTheme="minorEastAsia"/>
        </w:rPr>
        <w:t>R</w:t>
      </w:r>
      <w:r w:rsidR="002E35FF" w:rsidRPr="00607C22">
        <w:rPr>
          <w:rFonts w:eastAsiaTheme="minorEastAsia"/>
          <w:i/>
          <w:vertAlign w:val="subscript"/>
        </w:rPr>
        <w:t>i+l</w:t>
      </w:r>
      <w:proofErr w:type="spellEnd"/>
      <w:r w:rsidR="002E35FF">
        <w:rPr>
          <w:rFonts w:eastAsiaTheme="minorEastAsia"/>
        </w:rPr>
        <w:t>) and h</w:t>
      </w:r>
      <w:r w:rsidR="002E35FF">
        <w:rPr>
          <w:rFonts w:eastAsiaTheme="minorEastAsia"/>
          <w:vertAlign w:val="superscript"/>
        </w:rPr>
        <w:t>2</w:t>
      </w:r>
      <w:r w:rsidR="002E35FF">
        <w:rPr>
          <w:rFonts w:eastAsiaTheme="minorEastAsia"/>
        </w:rPr>
        <w:t>(</w:t>
      </w:r>
      <w:proofErr w:type="spellStart"/>
      <w:r w:rsidR="002E35FF">
        <w:rPr>
          <w:rFonts w:eastAsiaTheme="minorEastAsia"/>
        </w:rPr>
        <w:t>R</w:t>
      </w:r>
      <w:r w:rsidR="002E35FF" w:rsidRPr="00607C22">
        <w:rPr>
          <w:rFonts w:eastAsiaTheme="minorEastAsia"/>
          <w:i/>
          <w:vertAlign w:val="subscript"/>
        </w:rPr>
        <w:t>i+l</w:t>
      </w:r>
      <w:proofErr w:type="spellEnd"/>
      <w:r w:rsidR="002E35FF">
        <w:rPr>
          <w:rFonts w:eastAsiaTheme="minorEastAsia"/>
        </w:rPr>
        <w:t xml:space="preserve">) are those for amino acid residue </w:t>
      </w:r>
      <w:proofErr w:type="spellStart"/>
      <w:r w:rsidR="002E35FF" w:rsidRPr="00693FFB">
        <w:rPr>
          <w:rFonts w:eastAsiaTheme="minorEastAsia"/>
          <w:i/>
        </w:rPr>
        <w:t>R</w:t>
      </w:r>
      <w:r w:rsidR="002E35FF" w:rsidRPr="00693FFB">
        <w:rPr>
          <w:rFonts w:eastAsiaTheme="minorEastAsia"/>
          <w:i/>
          <w:vertAlign w:val="subscript"/>
        </w:rPr>
        <w:t>i+l</w:t>
      </w:r>
      <w:proofErr w:type="spellEnd"/>
      <w:r w:rsidR="002E35FF">
        <w:rPr>
          <w:rFonts w:eastAsiaTheme="minorEastAsia"/>
        </w:rPr>
        <w:t xml:space="preserve">. </w:t>
      </w:r>
    </w:p>
    <w:p w:rsidR="00B76C87" w:rsidRDefault="00B76C87" w:rsidP="00BD71DD">
      <w:pPr>
        <w:pStyle w:val="ListParagraph"/>
        <w:spacing w:line="480" w:lineRule="auto"/>
        <w:ind w:left="0"/>
        <w:jc w:val="both"/>
      </w:pPr>
    </w:p>
    <w:p w:rsidR="002E35FF" w:rsidRDefault="002E35FF" w:rsidP="00BD71DD">
      <w:pPr>
        <w:pStyle w:val="ListParagraph"/>
        <w:spacing w:line="480" w:lineRule="auto"/>
        <w:ind w:left="0"/>
        <w:jc w:val="both"/>
      </w:pPr>
      <w:r>
        <w:t xml:space="preserve">Multiple combination of λ in </w:t>
      </w:r>
      <w:r w:rsidRPr="00693FFB">
        <w:t xml:space="preserve">[5, 10, </w:t>
      </w:r>
      <w:r w:rsidR="00693FFB" w:rsidRPr="00693FFB">
        <w:t xml:space="preserve">15, </w:t>
      </w:r>
      <w:r w:rsidRPr="00693FFB">
        <w:t xml:space="preserve">20, 30, </w:t>
      </w:r>
      <w:proofErr w:type="gramStart"/>
      <w:r w:rsidRPr="00693FFB">
        <w:t>40</w:t>
      </w:r>
      <w:proofErr w:type="gramEnd"/>
      <w:r w:rsidRPr="00693FFB">
        <w:t>] and ω in [0.05, 0.10, 0.30, 0.50, 0.70] were</w:t>
      </w:r>
      <w:r>
        <w:t xml:space="preserve"> explored using the </w:t>
      </w:r>
      <w:proofErr w:type="spellStart"/>
      <w:r>
        <w:t>PseAAC</w:t>
      </w:r>
      <w:proofErr w:type="spellEnd"/>
      <w:r>
        <w:t xml:space="preserve"> web server available at </w:t>
      </w:r>
      <w:r w:rsidR="00693FFB">
        <w:t>http://</w:t>
      </w:r>
      <w:r w:rsidRPr="00AA4813">
        <w:t>www.csbio.sjtu.edu.cn/bioinf/PseAAC/</w:t>
      </w:r>
      <w:r>
        <w:t xml:space="preserve"> for prediction</w:t>
      </w:r>
      <w:r w:rsidRPr="00C60C6A">
        <w:t>‎</w:t>
      </w:r>
      <w:r>
        <w:t>.</w:t>
      </w:r>
    </w:p>
    <w:p w:rsidR="002E35FF" w:rsidRDefault="002E35FF" w:rsidP="00BD71DD">
      <w:pPr>
        <w:pStyle w:val="ListParagraph"/>
        <w:spacing w:line="480" w:lineRule="auto"/>
        <w:ind w:left="0"/>
      </w:pPr>
    </w:p>
    <w:p w:rsidR="00290A4A" w:rsidRPr="007408DD" w:rsidRDefault="00290A4A" w:rsidP="00BD71DD">
      <w:pPr>
        <w:pStyle w:val="ListParagraph"/>
        <w:numPr>
          <w:ilvl w:val="1"/>
          <w:numId w:val="1"/>
        </w:numPr>
        <w:spacing w:line="480" w:lineRule="auto"/>
        <w:rPr>
          <w:b/>
          <w:i/>
        </w:rPr>
      </w:pPr>
      <w:r w:rsidRPr="007408DD">
        <w:rPr>
          <w:b/>
          <w:i/>
        </w:rPr>
        <w:t>Support vector machines</w:t>
      </w:r>
    </w:p>
    <w:p w:rsidR="000B0953" w:rsidRDefault="00452F9F" w:rsidP="00BD71DD">
      <w:pPr>
        <w:pStyle w:val="ListParagraph"/>
        <w:spacing w:line="480" w:lineRule="auto"/>
        <w:ind w:left="0"/>
        <w:rPr>
          <w:rFonts w:ascii="TimesNewRomanPSMT" w:hAnsi="TimesNewRomanPSMT" w:cs="TimesNewRomanPSMT"/>
          <w:color w:val="FF0000"/>
        </w:rPr>
      </w:pPr>
      <w:r w:rsidRPr="00290A4A">
        <w:rPr>
          <w:rFonts w:ascii="TimesNewRomanPSMT" w:hAnsi="TimesNewRomanPSMT" w:cs="TimesNewRomanPSMT"/>
        </w:rPr>
        <w:t>To discriminate AFPs from n</w:t>
      </w:r>
      <w:r w:rsidR="00D4402A" w:rsidRPr="00290A4A">
        <w:rPr>
          <w:rFonts w:ascii="TimesNewRomanPSMT" w:hAnsi="TimesNewRomanPSMT" w:cs="TimesNewRomanPSMT"/>
        </w:rPr>
        <w:t>on-AFPs</w:t>
      </w:r>
      <w:r w:rsidR="00EA56E4">
        <w:rPr>
          <w:rFonts w:ascii="TimesNewRomanPSMT" w:hAnsi="TimesNewRomanPSMT" w:cs="TimesNewRomanPSMT"/>
        </w:rPr>
        <w:t xml:space="preserve"> using </w:t>
      </w:r>
      <w:proofErr w:type="spellStart"/>
      <w:r w:rsidR="00EA56E4">
        <w:rPr>
          <w:rFonts w:ascii="TimesNewRomanPSMT" w:hAnsi="TimesNewRomanPSMT" w:cs="TimesNewRomanPSMT"/>
        </w:rPr>
        <w:t>pseAAC</w:t>
      </w:r>
      <w:proofErr w:type="spellEnd"/>
      <w:r w:rsidR="00EA56E4">
        <w:rPr>
          <w:rFonts w:ascii="TimesNewRomanPSMT" w:hAnsi="TimesNewRomanPSMT" w:cs="TimesNewRomanPSMT"/>
        </w:rPr>
        <w:t xml:space="preserve"> features</w:t>
      </w:r>
      <w:r w:rsidR="00D4402A" w:rsidRPr="00290A4A">
        <w:rPr>
          <w:rFonts w:ascii="TimesNewRomanPSMT" w:hAnsi="TimesNewRomanPSMT" w:cs="TimesNewRomanPSMT"/>
        </w:rPr>
        <w:t xml:space="preserve">, a classifier </w:t>
      </w:r>
      <w:r w:rsidR="00EA56E4">
        <w:rPr>
          <w:rFonts w:ascii="TimesNewRomanPSMT" w:hAnsi="TimesNewRomanPSMT" w:cs="TimesNewRomanPSMT"/>
        </w:rPr>
        <w:t>popular for solving</w:t>
      </w:r>
      <w:r w:rsidR="00D4402A" w:rsidRPr="00290A4A">
        <w:rPr>
          <w:rFonts w:ascii="TimesNewRomanPSMT" w:hAnsi="TimesNewRomanPSMT" w:cs="TimesNewRomanPSMT"/>
        </w:rPr>
        <w:t xml:space="preserve"> biological challenges</w:t>
      </w:r>
      <w:r w:rsidR="000B0953">
        <w:rPr>
          <w:rFonts w:ascii="TimesNewRomanPSMT" w:hAnsi="TimesNewRomanPSMT" w:cs="TimesNewRomanPSMT"/>
        </w:rPr>
        <w:t xml:space="preserve"> related to prediction</w:t>
      </w:r>
      <w:r w:rsidR="00D4402A" w:rsidRPr="00290A4A">
        <w:rPr>
          <w:rFonts w:ascii="TimesNewRomanPSMT" w:hAnsi="TimesNewRomanPSMT" w:cs="TimesNewRomanPSMT"/>
        </w:rPr>
        <w:t>,</w:t>
      </w:r>
      <w:r w:rsidR="000B0953">
        <w:rPr>
          <w:rFonts w:ascii="TimesNewRomanPSMT" w:hAnsi="TimesNewRomanPSMT" w:cs="TimesNewRomanPSMT"/>
        </w:rPr>
        <w:t xml:space="preserve"> classification and regression [14],</w:t>
      </w:r>
      <w:r w:rsidR="00D4402A" w:rsidRPr="00290A4A">
        <w:rPr>
          <w:rFonts w:ascii="TimesNewRomanPSMT" w:hAnsi="TimesNewRomanPSMT" w:cs="TimesNewRomanPSMT"/>
        </w:rPr>
        <w:t xml:space="preserve"> the support vector machines (SVMs) was used. SVM is a supervised </w:t>
      </w:r>
      <w:r w:rsidR="000B0953">
        <w:rPr>
          <w:rFonts w:ascii="TimesNewRomanPSMT" w:hAnsi="TimesNewRomanPSMT" w:cs="TimesNewRomanPSMT"/>
        </w:rPr>
        <w:t>machine-learning tool</w:t>
      </w:r>
      <w:r w:rsidR="00D4402A" w:rsidRPr="00290A4A">
        <w:rPr>
          <w:rFonts w:ascii="TimesNewRomanPSMT" w:hAnsi="TimesNewRomanPSMT" w:cs="TimesNewRomanPSMT"/>
        </w:rPr>
        <w:t xml:space="preserve"> based on the structural risk minimization principle of statistics learning theory. </w:t>
      </w:r>
      <w:r w:rsidR="000B0953">
        <w:rPr>
          <w:rFonts w:ascii="TimesNewRomanPSMT" w:hAnsi="TimesNewRomanPSMT" w:cs="TimesNewRomanPSMT"/>
        </w:rPr>
        <w:t xml:space="preserve">It looks for an optimal </w:t>
      </w:r>
      <w:proofErr w:type="spellStart"/>
      <w:r w:rsidR="000B0953">
        <w:rPr>
          <w:rFonts w:ascii="TimesNewRomanPSMT" w:hAnsi="TimesNewRomanPSMT" w:cs="TimesNewRomanPSMT"/>
        </w:rPr>
        <w:t>hyperplane</w:t>
      </w:r>
      <w:proofErr w:type="spellEnd"/>
      <w:r w:rsidR="000B0953">
        <w:rPr>
          <w:rFonts w:ascii="TimesNewRomanPSMT" w:hAnsi="TimesNewRomanPSMT" w:cs="TimesNewRomanPSMT"/>
        </w:rPr>
        <w:t xml:space="preserve"> which maximizes the distance between the </w:t>
      </w:r>
      <w:proofErr w:type="spellStart"/>
      <w:r w:rsidR="000B0953">
        <w:rPr>
          <w:rFonts w:ascii="TimesNewRomanPSMT" w:hAnsi="TimesNewRomanPSMT" w:cs="TimesNewRomanPSMT"/>
        </w:rPr>
        <w:t>hyperplane</w:t>
      </w:r>
      <w:proofErr w:type="spellEnd"/>
      <w:r w:rsidR="000B0953">
        <w:rPr>
          <w:rFonts w:ascii="TimesNewRomanPSMT" w:hAnsi="TimesNewRomanPSMT" w:cs="TimesNewRomanPSMT"/>
        </w:rPr>
        <w:t xml:space="preserve"> and the nearest samples from each of the two </w:t>
      </w:r>
      <w:r w:rsidR="000B0953">
        <w:rPr>
          <w:rFonts w:ascii="TimesNewRomanPSMT" w:hAnsi="TimesNewRomanPSMT" w:cs="TimesNewRomanPSMT"/>
        </w:rPr>
        <w:lastRenderedPageBreak/>
        <w:t xml:space="preserve">classes. Mathematically, a training vector </w:t>
      </w:r>
      <w:r w:rsidR="000B0953" w:rsidRPr="00C92D57">
        <w:rPr>
          <w:rFonts w:ascii="TimesNewRomanPSMT" w:hAnsi="TimesNewRomanPSMT" w:cs="TimesNewRomanPSMT"/>
          <w:i/>
        </w:rPr>
        <w:t>x</w:t>
      </w:r>
      <w:r w:rsidR="000B0953" w:rsidRPr="00C92D57">
        <w:rPr>
          <w:rFonts w:ascii="TimesNewRomanPSMT" w:hAnsi="TimesNewRomanPSMT" w:cs="TimesNewRomanPSMT"/>
          <w:i/>
          <w:vertAlign w:val="subscript"/>
        </w:rPr>
        <w:t>i</w:t>
      </w:r>
      <w:r w:rsidR="001F528D">
        <w:rPr>
          <w:rFonts w:ascii="TimesNewRomanPSMT" w:hAnsi="TimesNewRomanPSMT" w:cs="TimesNewRomanPSMT"/>
          <w:i/>
          <w:vertAlign w:val="subscript"/>
        </w:rPr>
        <w:t xml:space="preserve"> </w:t>
      </w:r>
      <w:r w:rsidR="00BA0BF9">
        <w:rPr>
          <w:rFonts w:ascii="TimesNewRomanPSMT" w:hAnsi="TimesNewRomanPSMT" w:cs="TimesNewRomanPSMT"/>
        </w:rPr>
        <w:sym w:font="Symbol" w:char="F0CE"/>
      </w:r>
      <w:r w:rsidR="001F528D">
        <w:rPr>
          <w:rFonts w:ascii="TimesNewRomanPSMT" w:hAnsi="TimesNewRomanPSMT" w:cs="TimesNewRomanPSMT"/>
        </w:rPr>
        <w:t xml:space="preserve"> </w:t>
      </w:r>
      <w:proofErr w:type="spellStart"/>
      <w:r w:rsidR="000B0953" w:rsidRPr="00BA0BF9">
        <w:rPr>
          <w:rFonts w:ascii="TimesNewRomanPSMT" w:hAnsi="TimesNewRomanPSMT" w:cs="TimesNewRomanPSMT"/>
          <w:i/>
        </w:rPr>
        <w:t>R</w:t>
      </w:r>
      <w:r w:rsidR="000B0953" w:rsidRPr="00BA0BF9">
        <w:rPr>
          <w:rFonts w:ascii="TimesNewRomanPSMT" w:hAnsi="TimesNewRomanPSMT" w:cs="TimesNewRomanPSMT"/>
          <w:i/>
          <w:vertAlign w:val="superscript"/>
        </w:rPr>
        <w:t>n</w:t>
      </w:r>
      <w:proofErr w:type="spellEnd"/>
      <w:r w:rsidR="000B0953">
        <w:rPr>
          <w:rFonts w:ascii="TimesNewRomanPSMT" w:hAnsi="TimesNewRomanPSMT" w:cs="TimesNewRomanPSMT"/>
        </w:rPr>
        <w:t xml:space="preserve">, and class values </w:t>
      </w:r>
      <w:proofErr w:type="spellStart"/>
      <w:r w:rsidR="000B0953" w:rsidRPr="00BA0BF9">
        <w:rPr>
          <w:rFonts w:ascii="TimesNewRomanPSMT" w:hAnsi="TimesNewRomanPSMT" w:cs="TimesNewRomanPSMT"/>
          <w:i/>
        </w:rPr>
        <w:t>y</w:t>
      </w:r>
      <w:r w:rsidR="000B0953" w:rsidRPr="00BA0BF9">
        <w:rPr>
          <w:rFonts w:ascii="TimesNewRomanPSMT" w:hAnsi="TimesNewRomanPSMT" w:cs="TimesNewRomanPSMT"/>
          <w:i/>
          <w:vertAlign w:val="subscript"/>
        </w:rPr>
        <w:t>i</w:t>
      </w:r>
      <w:proofErr w:type="spellEnd"/>
      <w:r w:rsidR="000B0953">
        <w:rPr>
          <w:rFonts w:ascii="TimesNewRomanPSMT" w:hAnsi="TimesNewRomanPSMT" w:cs="TimesNewRomanPSMT"/>
          <w:vertAlign w:val="subscript"/>
        </w:rPr>
        <w:t xml:space="preserve"> </w:t>
      </w:r>
      <w:r w:rsidR="00BA0BF9">
        <w:rPr>
          <w:rFonts w:ascii="TimesNewRomanPSMT" w:hAnsi="TimesNewRomanPSMT" w:cs="TimesNewRomanPSMT"/>
        </w:rPr>
        <w:sym w:font="Symbol" w:char="F0CE"/>
      </w:r>
      <w:r w:rsidR="000B0953">
        <w:rPr>
          <w:rFonts w:ascii="TimesNewRomanPSMT" w:hAnsi="TimesNewRomanPSMT" w:cs="TimesNewRomanPSMT"/>
        </w:rPr>
        <w:t>{-1,</w:t>
      </w:r>
      <w:r w:rsidR="00C92D57">
        <w:rPr>
          <w:rFonts w:ascii="TimesNewRomanPSMT" w:hAnsi="TimesNewRomanPSMT" w:cs="TimesNewRomanPSMT"/>
        </w:rPr>
        <w:t xml:space="preserve"> </w:t>
      </w:r>
      <w:r w:rsidR="000B0953">
        <w:rPr>
          <w:rFonts w:ascii="TimesNewRomanPSMT" w:hAnsi="TimesNewRomanPSMT" w:cs="TimesNewRomanPSMT"/>
        </w:rPr>
        <w:t xml:space="preserve">1}, </w:t>
      </w:r>
      <w:proofErr w:type="spellStart"/>
      <w:r w:rsidR="000B0953" w:rsidRPr="00C92D57">
        <w:rPr>
          <w:rFonts w:ascii="TimesNewRomanPSMT" w:hAnsi="TimesNewRomanPSMT" w:cs="TimesNewRomanPSMT"/>
          <w:i/>
        </w:rPr>
        <w:t>i</w:t>
      </w:r>
      <w:proofErr w:type="spellEnd"/>
      <w:r w:rsidR="001F528D">
        <w:rPr>
          <w:rFonts w:ascii="TimesNewRomanPSMT" w:hAnsi="TimesNewRomanPSMT" w:cs="TimesNewRomanPSMT"/>
          <w:i/>
        </w:rPr>
        <w:t xml:space="preserve"> </w:t>
      </w:r>
      <w:r w:rsidR="000B0953">
        <w:rPr>
          <w:rFonts w:ascii="TimesNewRomanPSMT" w:hAnsi="TimesNewRomanPSMT" w:cs="TimesNewRomanPSMT"/>
        </w:rPr>
        <w:t>= 1</w:t>
      </w:r>
      <w:proofErr w:type="gramStart"/>
      <w:r w:rsidR="000B0953">
        <w:rPr>
          <w:rFonts w:ascii="TimesNewRomanPSMT" w:hAnsi="TimesNewRomanPSMT" w:cs="TimesNewRomanPSMT"/>
        </w:rPr>
        <w:t>,</w:t>
      </w:r>
      <w:r w:rsidR="007A154F">
        <w:rPr>
          <w:rFonts w:ascii="TimesNewRomanPSMT" w:hAnsi="TimesNewRomanPSMT" w:cs="TimesNewRomanPSMT"/>
        </w:rPr>
        <w:t xml:space="preserve"> </w:t>
      </w:r>
      <w:r w:rsidR="00F323FF">
        <w:rPr>
          <w:rFonts w:ascii="TimesNewRomanPSMT" w:hAnsi="TimesNewRomanPSMT" w:cs="TimesNewRomanPSMT"/>
        </w:rPr>
        <w:t>…</w:t>
      </w:r>
      <w:r w:rsidR="000B0953">
        <w:rPr>
          <w:rFonts w:ascii="TimesNewRomanPSMT" w:hAnsi="TimesNewRomanPSMT" w:cs="TimesNewRomanPSMT"/>
        </w:rPr>
        <w:t>,</w:t>
      </w:r>
      <w:proofErr w:type="gramEnd"/>
      <w:r w:rsidR="00C92D57">
        <w:rPr>
          <w:rFonts w:ascii="TimesNewRomanPSMT" w:hAnsi="TimesNewRomanPSMT" w:cs="TimesNewRomanPSMT"/>
        </w:rPr>
        <w:t xml:space="preserve"> </w:t>
      </w:r>
      <w:r w:rsidR="000B0953" w:rsidRPr="00607C22">
        <w:rPr>
          <w:rFonts w:ascii="TimesNewRomanPSMT" w:hAnsi="TimesNewRomanPSMT" w:cs="TimesNewRomanPSMT"/>
          <w:i/>
        </w:rPr>
        <w:t>N</w:t>
      </w:r>
      <w:r w:rsidR="000B0953">
        <w:rPr>
          <w:rFonts w:ascii="TimesNewRomanPSMT" w:hAnsi="TimesNewRomanPSMT" w:cs="TimesNewRomanPSMT"/>
        </w:rPr>
        <w:t xml:space="preserve"> </w:t>
      </w:r>
      <w:r w:rsidR="001F528D">
        <w:rPr>
          <w:rFonts w:ascii="TimesNewRomanPSMT" w:hAnsi="TimesNewRomanPSMT" w:cs="TimesNewRomanPSMT"/>
        </w:rPr>
        <w:t>are</w:t>
      </w:r>
      <w:r w:rsidR="000B0953">
        <w:rPr>
          <w:rFonts w:ascii="TimesNewRomanPSMT" w:hAnsi="TimesNewRomanPSMT" w:cs="TimesNewRomanPSMT"/>
        </w:rPr>
        <w:t xml:space="preserve"> used to solve the problems using </w:t>
      </w:r>
      <w:r w:rsidR="000B0953" w:rsidRPr="00C92D57">
        <w:rPr>
          <w:rFonts w:ascii="TimesNewRomanPSMT" w:hAnsi="TimesNewRomanPSMT" w:cs="TimesNewRomanPSMT"/>
        </w:rPr>
        <w:t>the following equation:</w:t>
      </w:r>
    </w:p>
    <w:p w:rsidR="007A154F" w:rsidRPr="00D15981" w:rsidRDefault="007A154F" w:rsidP="00E6005A">
      <w:pPr>
        <w:spacing w:line="480" w:lineRule="auto"/>
        <w:jc w:val="center"/>
        <w:rPr>
          <w:rFonts w:eastAsiaTheme="minorEastAsia"/>
        </w:rPr>
      </w:pPr>
      <m:oMath>
        <m:r>
          <w:rPr>
            <w:rFonts w:ascii="Cambria Math" w:hAnsi="Cambria Math"/>
          </w:rPr>
          <m:t xml:space="preserve">Minimize </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w</m:t>
            </m:r>
          </m:e>
          <m:sup>
            <m:r>
              <w:rPr>
                <w:rFonts w:ascii="Cambria Math" w:hAnsi="Cambria Math"/>
              </w:rPr>
              <m:t>T</m:t>
            </m:r>
          </m:sup>
        </m:sSup>
        <m:r>
          <w:rPr>
            <w:rFonts w:ascii="Cambria Math" w:hAnsi="Cambria Math"/>
          </w:rPr>
          <m:t>∙w+C</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ξ</m:t>
                </m:r>
              </m:e>
              <m:sub>
                <m:r>
                  <w:rPr>
                    <w:rFonts w:ascii="Cambria Math" w:hAnsi="Cambria Math"/>
                  </w:rPr>
                  <m:t>i</m:t>
                </m:r>
              </m:sub>
            </m:sSub>
          </m:e>
        </m:nary>
      </m:oMath>
      <w:r w:rsidR="00E6005A">
        <w:rPr>
          <w:rFonts w:eastAsiaTheme="minorEastAsia"/>
        </w:rPr>
        <w:t xml:space="preserve">           (9)</w:t>
      </w:r>
    </w:p>
    <w:p w:rsidR="007A154F" w:rsidRDefault="007A154F" w:rsidP="00E6005A">
      <w:pPr>
        <w:spacing w:line="480" w:lineRule="auto"/>
        <w:jc w:val="center"/>
        <w:rPr>
          <w:rFonts w:eastAsiaTheme="minorEastAsia"/>
        </w:rPr>
      </w:pPr>
      <m:oMath>
        <m:r>
          <w:rPr>
            <w:rFonts w:ascii="Cambria Math" w:hAnsi="Cambria Math"/>
          </w:rPr>
          <m:t xml:space="preserve">Subject to </m:t>
        </m:r>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+b</m:t>
            </m:r>
          </m:e>
        </m:d>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ξ</m:t>
            </m:r>
          </m:e>
          <m:sub>
            <m:r>
              <w:rPr>
                <w:rFonts w:ascii="Cambria Math" w:eastAsiaTheme="minorEastAsia" w:hAnsi="Cambria Math"/>
              </w:rPr>
              <m:t>i</m:t>
            </m:r>
          </m:sub>
        </m:sSub>
        <m:r>
          <w:rPr>
            <w:rFonts w:ascii="Cambria Math" w:eastAsiaTheme="minorEastAsia" w:hAnsi="Cambria Math"/>
          </w:rPr>
          <m:t xml:space="preserve"> and </m:t>
        </m:r>
        <m:sSub>
          <m:sSubPr>
            <m:ctrlPr>
              <w:rPr>
                <w:rFonts w:ascii="Cambria Math" w:eastAsiaTheme="minorEastAsia" w:hAnsi="Cambria Math"/>
                <w:i/>
              </w:rPr>
            </m:ctrlPr>
          </m:sSubPr>
          <m:e>
            <m:r>
              <w:rPr>
                <w:rFonts w:ascii="Cambria Math" w:eastAsiaTheme="minorEastAsia" w:hAnsi="Cambria Math"/>
              </w:rPr>
              <m:t>ξ</m:t>
            </m:r>
          </m:e>
          <m:sub>
            <m:r>
              <w:rPr>
                <w:rFonts w:ascii="Cambria Math" w:eastAsiaTheme="minorEastAsia" w:hAnsi="Cambria Math"/>
              </w:rPr>
              <m:t>i</m:t>
            </m:r>
          </m:sub>
        </m:sSub>
        <m:r>
          <w:rPr>
            <w:rFonts w:ascii="Cambria Math" w:eastAsiaTheme="minorEastAsia" w:hAnsi="Cambria Math"/>
          </w:rPr>
          <m:t>≥0</m:t>
        </m:r>
      </m:oMath>
      <w:r w:rsidR="00E6005A">
        <w:rPr>
          <w:rFonts w:eastAsiaTheme="minorEastAsia"/>
        </w:rPr>
        <w:t xml:space="preserve">       (10)</w:t>
      </w:r>
    </w:p>
    <w:p w:rsidR="007A154F" w:rsidRDefault="007A154F" w:rsidP="00BD71DD">
      <w:pPr>
        <w:pStyle w:val="ListParagraph"/>
        <w:spacing w:line="480" w:lineRule="auto"/>
        <w:ind w:left="0"/>
        <w:rPr>
          <w:rFonts w:ascii="TimesNewRomanPSMT" w:hAnsi="TimesNewRomanPSMT" w:cs="TimesNewRomanPSMT"/>
        </w:rPr>
      </w:pPr>
    </w:p>
    <w:p w:rsidR="00D4402A" w:rsidRPr="007A154F" w:rsidRDefault="000B0953" w:rsidP="00BD71DD">
      <w:pPr>
        <w:pStyle w:val="ListParagraph"/>
        <w:spacing w:line="480" w:lineRule="auto"/>
        <w:ind w:left="0"/>
      </w:pPr>
      <w:proofErr w:type="gramStart"/>
      <w:r>
        <w:rPr>
          <w:rFonts w:ascii="TimesNewRomanPSMT" w:hAnsi="TimesNewRomanPSMT" w:cs="TimesNewRomanPSMT"/>
        </w:rPr>
        <w:t>where</w:t>
      </w:r>
      <w:proofErr w:type="gramEnd"/>
      <w:r>
        <w:rPr>
          <w:rFonts w:ascii="TimesNewRomanPSMT" w:hAnsi="TimesNewRomanPSMT" w:cs="TimesNewRomanPSMT"/>
        </w:rPr>
        <w:t xml:space="preserve"> </w:t>
      </w:r>
      <w:r w:rsidRPr="00C92D57">
        <w:rPr>
          <w:rFonts w:ascii="TimesNewRomanPSMT" w:hAnsi="TimesNewRomanPSMT" w:cs="TimesNewRomanPSMT"/>
          <w:i/>
        </w:rPr>
        <w:t>w</w:t>
      </w:r>
      <w:r>
        <w:rPr>
          <w:rFonts w:ascii="TimesNewRomanPSMT" w:hAnsi="TimesNewRomanPSMT" w:cs="TimesNewRomanPSMT"/>
        </w:rPr>
        <w:t xml:space="preserve"> is the normal vector perpendicular to the </w:t>
      </w:r>
      <w:proofErr w:type="spellStart"/>
      <w:r>
        <w:rPr>
          <w:rFonts w:ascii="TimesNewRomanPSMT" w:hAnsi="TimesNewRomanPSMT" w:cs="TimesNewRomanPSMT"/>
        </w:rPr>
        <w:t>hyperplane</w:t>
      </w:r>
      <w:proofErr w:type="spellEnd"/>
      <w:r>
        <w:rPr>
          <w:rFonts w:ascii="TimesNewRomanPSMT" w:hAnsi="TimesNewRomanPSMT" w:cs="TimesNewRomanPSMT"/>
        </w:rPr>
        <w:t xml:space="preserve"> and </w:t>
      </w:r>
      <w:r w:rsidRPr="00C92D57">
        <w:rPr>
          <w:rFonts w:ascii="TimesNewRomanPSMT" w:hAnsi="TimesNewRomanPSMT" w:cs="TimesNewRomanPSMT"/>
          <w:i/>
        </w:rPr>
        <w:sym w:font="Symbol" w:char="F078"/>
      </w:r>
      <w:proofErr w:type="spellStart"/>
      <w:r w:rsidRPr="00C92D57">
        <w:rPr>
          <w:rFonts w:ascii="TimesNewRomanPSMT" w:hAnsi="TimesNewRomanPSMT" w:cs="TimesNewRomanPSMT"/>
          <w:i/>
          <w:vertAlign w:val="subscript"/>
        </w:rPr>
        <w:t>i</w:t>
      </w:r>
      <w:proofErr w:type="spellEnd"/>
      <w:r>
        <w:rPr>
          <w:rFonts w:ascii="TimesNewRomanPSMT" w:hAnsi="TimesNewRomanPSMT" w:cs="TimesNewRomanPSMT"/>
          <w:vertAlign w:val="subscript"/>
        </w:rPr>
        <w:t xml:space="preserve"> </w:t>
      </w:r>
      <w:r>
        <w:rPr>
          <w:rFonts w:ascii="TimesNewRomanPSMT" w:hAnsi="TimesNewRomanPSMT" w:cs="TimesNewRomanPSMT"/>
        </w:rPr>
        <w:t xml:space="preserve">are slake variables for permitting misclassifications. </w:t>
      </w:r>
      <w:r w:rsidR="00C60C6A">
        <w:rPr>
          <w:rFonts w:ascii="TimesNewRomanPSMT" w:hAnsi="TimesNewRomanPSMT" w:cs="TimesNewRomanPSMT"/>
        </w:rPr>
        <w:t xml:space="preserve">Balancing the trade-off between the margin and the training error is done using </w:t>
      </w:r>
      <w:r w:rsidR="00C60C6A" w:rsidRPr="00C92D57">
        <w:rPr>
          <w:rFonts w:ascii="TimesNewRomanPSMT" w:hAnsi="TimesNewRomanPSMT" w:cs="TimesNewRomanPSMT"/>
          <w:i/>
        </w:rPr>
        <w:t>C</w:t>
      </w:r>
      <w:r w:rsidR="007A154F">
        <w:rPr>
          <w:rFonts w:ascii="TimesNewRomanPSMT" w:hAnsi="TimesNewRomanPSMT" w:cs="TimesNewRomanPSMT"/>
        </w:rPr>
        <w:t xml:space="preserve"> (</w:t>
      </w:r>
      <w:r w:rsidR="00C60C6A">
        <w:rPr>
          <w:rFonts w:ascii="TimesNewRomanPSMT" w:hAnsi="TimesNewRomanPSMT" w:cs="TimesNewRomanPSMT"/>
        </w:rPr>
        <w:t>&gt;</w:t>
      </w:r>
      <w:r w:rsidR="007A154F">
        <w:rPr>
          <w:rFonts w:ascii="TimesNewRomanPSMT" w:hAnsi="TimesNewRomanPSMT" w:cs="TimesNewRomanPSMT"/>
        </w:rPr>
        <w:t xml:space="preserve"> </w:t>
      </w:r>
      <w:r w:rsidR="00C60C6A">
        <w:rPr>
          <w:rFonts w:ascii="TimesNewRomanPSMT" w:hAnsi="TimesNewRomanPSMT" w:cs="TimesNewRomanPSMT"/>
        </w:rPr>
        <w:t xml:space="preserve">0), the penalty parameter [16]. </w:t>
      </w:r>
      <w:r w:rsidR="00D4402A" w:rsidRPr="00290A4A">
        <w:rPr>
          <w:rFonts w:ascii="TimesNewRomanPSMT" w:hAnsi="TimesNewRomanPSMT" w:cs="TimesNewRomanPSMT"/>
        </w:rPr>
        <w:t xml:space="preserve">The user can choose and optimize number of parameters and kernels (e.g. linear, polynomial, radial basis function and </w:t>
      </w:r>
      <w:proofErr w:type="spellStart"/>
      <w:r w:rsidR="00D4402A" w:rsidRPr="00290A4A">
        <w:rPr>
          <w:rFonts w:ascii="TimesNewRomanPSMT" w:hAnsi="TimesNewRomanPSMT" w:cs="TimesNewRomanPSMT"/>
        </w:rPr>
        <w:t>sigmoidal</w:t>
      </w:r>
      <w:proofErr w:type="spellEnd"/>
      <w:r w:rsidR="00D4402A" w:rsidRPr="00290A4A">
        <w:rPr>
          <w:rFonts w:ascii="TimesNewRomanPSMT" w:hAnsi="TimesNewRomanPSMT" w:cs="TimesNewRomanPSMT"/>
        </w:rPr>
        <w:t xml:space="preserve">) or any user-defined </w:t>
      </w:r>
      <w:r w:rsidR="00D4402A" w:rsidRPr="007A154F">
        <w:t xml:space="preserve">kernel. In this study, we selected radial basis function for AFP prediction with </w:t>
      </w:r>
      <w:r w:rsidR="00472E08" w:rsidRPr="007A154F">
        <w:t xml:space="preserve">grid searching of </w:t>
      </w:r>
      <w:r w:rsidR="00D4402A" w:rsidRPr="007A154F">
        <w:t xml:space="preserve">influencing parameters, </w:t>
      </w:r>
      <w:r w:rsidR="00C60C6A" w:rsidRPr="007A154F">
        <w:rPr>
          <w:i/>
        </w:rPr>
        <w:t>C</w:t>
      </w:r>
      <w:r w:rsidR="00D4402A" w:rsidRPr="007A154F">
        <w:t xml:space="preserve"> in </w:t>
      </w:r>
      <w:r w:rsidR="007A154F" w:rsidRPr="007A154F">
        <w:t>[</w:t>
      </w:r>
      <w:r w:rsidR="007A154F">
        <w:t>5</w:t>
      </w:r>
      <w:r w:rsidR="007A154F" w:rsidRPr="007A154F">
        <w:t xml:space="preserve"> – </w:t>
      </w:r>
      <w:r w:rsidR="007A154F">
        <w:t>50</w:t>
      </w:r>
      <w:r w:rsidR="007A154F" w:rsidRPr="007A154F">
        <w:t>]</w:t>
      </w:r>
      <w:r w:rsidR="007A154F">
        <w:t xml:space="preserve"> </w:t>
      </w:r>
      <w:r w:rsidR="00D4402A" w:rsidRPr="007A154F">
        <w:t xml:space="preserve">and </w:t>
      </w:r>
      <w:r w:rsidR="00D4402A" w:rsidRPr="007A154F">
        <w:rPr>
          <w:i/>
        </w:rPr>
        <w:t>γ</w:t>
      </w:r>
      <w:r w:rsidR="00D4402A" w:rsidRPr="007A154F">
        <w:t xml:space="preserve"> in </w:t>
      </w:r>
      <w:r w:rsidR="007A154F" w:rsidRPr="007A154F">
        <w:t>[0.00001 – 0.1]</w:t>
      </w:r>
      <w:r w:rsidR="00D4402A" w:rsidRPr="007A154F">
        <w:t xml:space="preserve"> and developed models using </w:t>
      </w:r>
      <w:proofErr w:type="spellStart"/>
      <w:r w:rsidR="00D4402A" w:rsidRPr="007A154F">
        <w:t>SVM</w:t>
      </w:r>
      <w:r w:rsidR="00D4402A" w:rsidRPr="007A154F">
        <w:rPr>
          <w:vertAlign w:val="superscript"/>
        </w:rPr>
        <w:t>light</w:t>
      </w:r>
      <w:proofErr w:type="spellEnd"/>
      <w:r w:rsidR="00D4402A" w:rsidRPr="007A154F">
        <w:t> Version 6.02 package available at http://svmlight.joachims.org/.</w:t>
      </w:r>
    </w:p>
    <w:p w:rsidR="00C92D57" w:rsidRPr="00290A4A" w:rsidRDefault="00C92D57" w:rsidP="00BD71DD">
      <w:pPr>
        <w:pStyle w:val="ListParagraph"/>
        <w:spacing w:line="480" w:lineRule="auto"/>
        <w:ind w:left="0"/>
        <w:rPr>
          <w:rFonts w:ascii="TimesNewRomanPSMT" w:hAnsi="TimesNewRomanPSMT" w:cs="TimesNewRomanPSMT"/>
        </w:rPr>
      </w:pPr>
    </w:p>
    <w:p w:rsidR="005877DD" w:rsidRPr="007408DD" w:rsidRDefault="00282948" w:rsidP="00BD71DD">
      <w:pPr>
        <w:pStyle w:val="ListParagraph"/>
        <w:numPr>
          <w:ilvl w:val="1"/>
          <w:numId w:val="1"/>
        </w:numPr>
        <w:spacing w:line="480" w:lineRule="auto"/>
        <w:rPr>
          <w:b/>
          <w:i/>
        </w:rPr>
      </w:pPr>
      <w:r w:rsidRPr="007408DD">
        <w:rPr>
          <w:b/>
          <w:i/>
        </w:rPr>
        <w:t>Performance Evaluation</w:t>
      </w:r>
    </w:p>
    <w:p w:rsidR="00DE721D" w:rsidRDefault="00FE5991" w:rsidP="00BD71DD">
      <w:pPr>
        <w:pStyle w:val="ListParagraph"/>
        <w:spacing w:line="480" w:lineRule="auto"/>
        <w:ind w:left="0"/>
      </w:pPr>
      <w:r>
        <w:t>Models of AFPs and non-</w:t>
      </w:r>
      <w:r w:rsidR="008F7F9F">
        <w:t xml:space="preserve">AFPs were generated in various combinations of </w:t>
      </w:r>
      <w:proofErr w:type="spellStart"/>
      <w:r w:rsidR="008F7F9F">
        <w:t>pseAAC</w:t>
      </w:r>
      <w:proofErr w:type="spellEnd"/>
      <w:r w:rsidR="008F7F9F">
        <w:t xml:space="preserve"> and SVM parameters on randomly selected 300 positive and 30</w:t>
      </w:r>
      <w:r w:rsidR="004F7E43">
        <w:t>0 negative examples</w:t>
      </w:r>
      <w:r w:rsidR="008F7F9F">
        <w:t xml:space="preserve"> (training dataset) followed by </w:t>
      </w:r>
      <w:r w:rsidR="005877DD">
        <w:t>ten-fold cross-validation</w:t>
      </w:r>
      <w:r w:rsidR="008F7F9F">
        <w:t xml:space="preserve"> [17]</w:t>
      </w:r>
      <w:r w:rsidR="005877DD">
        <w:t xml:space="preserve"> </w:t>
      </w:r>
      <w:r w:rsidR="008F7F9F">
        <w:t>and performance analysis using the following mathematical formula</w:t>
      </w:r>
      <w:r w:rsidR="004F7E43">
        <w:t xml:space="preserve"> for sensitivity (recall), specificity, accuracy and Matthew's correlation coefficient (MCC)</w:t>
      </w:r>
      <w:r w:rsidR="00DE721D">
        <w:t xml:space="preserve">. </w:t>
      </w:r>
      <w:r w:rsidR="008B73B8">
        <w:t>S</w:t>
      </w:r>
      <w:r w:rsidR="00DE721D">
        <w:t>ince the number of AFPs i.e. 481 positive examples were much smaller than 9423 negative examples, we investigated for bias in identification due to selection process</w:t>
      </w:r>
      <w:r w:rsidR="008B73B8">
        <w:t>, by keeping the number of positive examples constant to 300</w:t>
      </w:r>
      <w:r w:rsidR="00DE721D">
        <w:t xml:space="preserve">. Briefly, we selected 300 negative </w:t>
      </w:r>
      <w:r w:rsidR="00DE721D">
        <w:lastRenderedPageBreak/>
        <w:t>examples, three times randomly for model generation and evaluated the prediction using the above mentioned mathe</w:t>
      </w:r>
      <w:r w:rsidR="008B73B8">
        <w:t>matical formulae</w:t>
      </w:r>
      <w:r w:rsidR="008F5D1E">
        <w:t xml:space="preserve"> after ten-fold cross-validation</w:t>
      </w:r>
      <w:r w:rsidR="008B73B8">
        <w:t>. Then</w:t>
      </w:r>
      <w:r w:rsidR="00DE721D">
        <w:t>, we explored the influence of number of negative examples on</w:t>
      </w:r>
      <w:r w:rsidR="008B73B8">
        <w:t xml:space="preserve"> the AFP prediction also. W</w:t>
      </w:r>
      <w:r w:rsidR="00DE721D">
        <w:t xml:space="preserve">e did </w:t>
      </w:r>
      <w:r w:rsidR="008B73B8">
        <w:t xml:space="preserve">this </w:t>
      </w:r>
      <w:r w:rsidR="00DE721D">
        <w:t>by including 900 negative examples instead of the original ratio 1:1 for development of models followed by performance assessment using same evaluation parameters as mentioned above</w:t>
      </w:r>
      <w:r w:rsidR="008F5D1E">
        <w:t xml:space="preserve"> after ten-fold cross-validation</w:t>
      </w:r>
      <w:r w:rsidR="00DE721D">
        <w:t>.</w:t>
      </w:r>
      <w:r w:rsidR="008F5D1E">
        <w:t xml:space="preserve"> Once we</w:t>
      </w:r>
      <w:r w:rsidR="00DE721D">
        <w:t xml:space="preserve"> </w:t>
      </w:r>
      <w:r w:rsidR="008F5D1E">
        <w:t>gained</w:t>
      </w:r>
      <w:r w:rsidR="00DE721D">
        <w:t xml:space="preserve"> insights into the selection bias and influence of negative examples on prediction, the best performing models were selected for prediction on independent test dataset. This comprised of examples in section 2.1 not included in training, i.e., 181 AFPs and </w:t>
      </w:r>
      <w:r w:rsidR="00290D35">
        <w:t>82</w:t>
      </w:r>
      <w:r>
        <w:t>93 non-</w:t>
      </w:r>
      <w:r w:rsidR="00DE721D">
        <w:t>AFPs. Subsequently, their performance was evaluated and compared with existing AFP prediction approaches. The mathematical formula for evaluation parameters:</w:t>
      </w:r>
    </w:p>
    <w:p w:rsidR="00455F84" w:rsidRPr="00840FDC" w:rsidRDefault="00C41A85" w:rsidP="00BD71DD">
      <w:pPr>
        <w:pStyle w:val="Standard"/>
        <w:spacing w:after="200" w:line="480" w:lineRule="auto"/>
        <w:rPr>
          <w:rFonts w:ascii="Times New Roman" w:hAnsi="Times New Roman" w:cs="Times New Roman"/>
        </w:rPr>
      </w:pPr>
      <m:oMath>
        <m:r>
          <w:rPr>
            <w:rFonts w:ascii="Cambria Math" w:hAnsi="Cambria Math"/>
          </w:rPr>
          <m:t>Sensitivity</m:t>
        </m:r>
        <m:r>
          <w:rPr>
            <w:rFonts w:ascii="Cambria Math"/>
          </w:rPr>
          <m:t>=</m:t>
        </m:r>
        <m:r>
          <w:rPr>
            <w:rFonts w:ascii="Cambria Math" w:hAnsi="Cambria Math"/>
          </w:rPr>
          <m:t>TP</m:t>
        </m:r>
        <m:r>
          <w:rPr>
            <w:rFonts w:ascii="Cambria Math"/>
          </w:rPr>
          <m:t>/(</m:t>
        </m:r>
        <m:r>
          <w:rPr>
            <w:rFonts w:ascii="Cambria Math" w:hAnsi="Cambria Math"/>
          </w:rPr>
          <m:t>TP</m:t>
        </m:r>
        <m:r>
          <w:rPr>
            <w:rFonts w:ascii="Cambria Math"/>
          </w:rPr>
          <m:t>+</m:t>
        </m:r>
        <m:r>
          <w:rPr>
            <w:rFonts w:ascii="Cambria Math" w:hAnsi="Cambria Math"/>
          </w:rPr>
          <m:t>FN</m:t>
        </m:r>
        <m:r>
          <w:rPr>
            <w:rFonts w:ascii="Cambria Math"/>
          </w:rPr>
          <m:t>)</m:t>
        </m:r>
      </m:oMath>
      <w:r w:rsidR="00E6005A">
        <w:rPr>
          <w:rFonts w:ascii="Times New Roman" w:hAnsi="Times New Roman" w:cs="Times New Roman"/>
        </w:rPr>
        <w:t xml:space="preserve">       (11)</w:t>
      </w:r>
    </w:p>
    <w:p w:rsidR="00455F84" w:rsidRPr="00840FDC" w:rsidRDefault="00C41A85" w:rsidP="00BD71DD">
      <w:pPr>
        <w:pStyle w:val="Standard"/>
        <w:spacing w:after="200" w:line="480" w:lineRule="auto"/>
        <w:rPr>
          <w:rFonts w:ascii="Times New Roman" w:hAnsi="Times New Roman" w:cs="Times New Roman"/>
        </w:rPr>
      </w:pPr>
      <m:oMath>
        <m:r>
          <w:rPr>
            <w:rFonts w:ascii="Cambria Math" w:hAnsi="Cambria Math"/>
          </w:rPr>
          <m:t>Specificity</m:t>
        </m:r>
        <m:r>
          <w:rPr>
            <w:rFonts w:ascii="Cambria Math"/>
          </w:rPr>
          <m:t>=</m:t>
        </m:r>
        <m:r>
          <w:rPr>
            <w:rFonts w:ascii="Cambria Math" w:hAnsi="Cambria Math"/>
          </w:rPr>
          <m:t>TN</m:t>
        </m:r>
        <m:r>
          <w:rPr>
            <w:rFonts w:ascii="Cambria Math"/>
          </w:rPr>
          <m:t>/(</m:t>
        </m:r>
        <m:r>
          <w:rPr>
            <w:rFonts w:ascii="Cambria Math" w:hAnsi="Cambria Math"/>
          </w:rPr>
          <m:t>TN</m:t>
        </m:r>
        <m:r>
          <w:rPr>
            <w:rFonts w:ascii="Cambria Math"/>
          </w:rPr>
          <m:t>+</m:t>
        </m:r>
        <m:r>
          <w:rPr>
            <w:rFonts w:ascii="Cambria Math" w:hAnsi="Cambria Math"/>
          </w:rPr>
          <m:t>FP</m:t>
        </m:r>
        <m:r>
          <w:rPr>
            <w:rFonts w:ascii="Cambria Math"/>
          </w:rPr>
          <m:t>)</m:t>
        </m:r>
      </m:oMath>
      <w:r w:rsidR="00E6005A">
        <w:rPr>
          <w:rFonts w:ascii="Times New Roman" w:hAnsi="Times New Roman" w:cs="Times New Roman"/>
        </w:rPr>
        <w:t xml:space="preserve">        (12)</w:t>
      </w:r>
    </w:p>
    <w:p w:rsidR="00455F84" w:rsidRPr="00840FDC" w:rsidRDefault="00C41A85" w:rsidP="00BD71DD">
      <w:pPr>
        <w:pStyle w:val="Standard"/>
        <w:spacing w:after="200" w:line="480" w:lineRule="auto"/>
        <w:rPr>
          <w:rFonts w:ascii="Times New Roman" w:hAnsi="Times New Roman" w:cs="Times New Roman"/>
        </w:rPr>
      </w:pPr>
      <m:oMath>
        <m:r>
          <w:rPr>
            <w:rFonts w:ascii="Cambria Math" w:hAnsi="Cambria Math"/>
          </w:rPr>
          <m:t>Accuracy</m:t>
        </m:r>
        <m:r>
          <w:rPr>
            <w:rFonts w:ascii="Cambria Math"/>
          </w:rPr>
          <m:t>=(</m:t>
        </m:r>
        <m:r>
          <w:rPr>
            <w:rFonts w:ascii="Cambria Math" w:hAnsi="Cambria Math"/>
          </w:rPr>
          <m:t>TP</m:t>
        </m:r>
        <m:r>
          <w:rPr>
            <w:rFonts w:ascii="Cambria Math"/>
          </w:rPr>
          <m:t>+</m:t>
        </m:r>
        <m:r>
          <w:rPr>
            <w:rFonts w:ascii="Cambria Math" w:hAnsi="Cambria Math"/>
          </w:rPr>
          <m:t>TN</m:t>
        </m:r>
        <m:r>
          <w:rPr>
            <w:rFonts w:ascii="Cambria Math"/>
          </w:rPr>
          <m:t>)/(</m:t>
        </m:r>
        <m:r>
          <w:rPr>
            <w:rFonts w:ascii="Cambria Math" w:hAnsi="Cambria Math"/>
          </w:rPr>
          <m:t>TP</m:t>
        </m:r>
        <m:r>
          <w:rPr>
            <w:rFonts w:ascii="Cambria Math"/>
          </w:rPr>
          <m:t>+</m:t>
        </m:r>
        <m:r>
          <w:rPr>
            <w:rFonts w:ascii="Cambria Math" w:hAnsi="Cambria Math"/>
          </w:rPr>
          <m:t>FN</m:t>
        </m:r>
        <m:r>
          <w:rPr>
            <w:rFonts w:ascii="Cambria Math"/>
          </w:rPr>
          <m:t>+</m:t>
        </m:r>
        <m:r>
          <w:rPr>
            <w:rFonts w:ascii="Cambria Math" w:hAnsi="Cambria Math"/>
          </w:rPr>
          <m:t>TN</m:t>
        </m:r>
        <m:r>
          <w:rPr>
            <w:rFonts w:ascii="Cambria Math"/>
          </w:rPr>
          <m:t>+</m:t>
        </m:r>
        <m:r>
          <w:rPr>
            <w:rFonts w:ascii="Cambria Math" w:hAnsi="Cambria Math"/>
          </w:rPr>
          <m:t>FP</m:t>
        </m:r>
        <m:r>
          <w:rPr>
            <w:rFonts w:ascii="Cambria Math"/>
          </w:rPr>
          <m:t>)</m:t>
        </m:r>
      </m:oMath>
      <w:r w:rsidR="00E6005A">
        <w:rPr>
          <w:rFonts w:ascii="Times New Roman" w:hAnsi="Times New Roman" w:cs="Times New Roman"/>
        </w:rPr>
        <w:t xml:space="preserve">         (13)</w:t>
      </w:r>
    </w:p>
    <w:p w:rsidR="00455F84" w:rsidRPr="00840FDC" w:rsidRDefault="00C41A85" w:rsidP="00BD71DD">
      <w:pPr>
        <w:pStyle w:val="Standard"/>
        <w:spacing w:after="200" w:line="480" w:lineRule="auto"/>
        <w:rPr>
          <w:rFonts w:ascii="Times New Roman" w:hAnsi="Times New Roman" w:cs="Times New Roman"/>
        </w:rPr>
      </w:pPr>
      <m:oMath>
        <m:r>
          <w:rPr>
            <w:rFonts w:ascii="Cambria Math" w:hAnsi="Cambria Math"/>
          </w:rPr>
          <m:t>MCC</m:t>
        </m:r>
        <m:r>
          <w:rPr>
            <w:rFonts w:ascii="Cambria Math"/>
          </w:rPr>
          <m:t>=(</m:t>
        </m:r>
        <m:d>
          <m:dPr>
            <m:ctrlPr>
              <w:rPr>
                <w:rFonts w:ascii="Cambria Math" w:hAnsi="Cambria Math"/>
                <w:i/>
              </w:rPr>
            </m:ctrlPr>
          </m:dPr>
          <m:e>
            <m:r>
              <w:rPr>
                <w:rFonts w:ascii="Cambria Math" w:hAnsi="Cambria Math"/>
              </w:rPr>
              <m:t>TP</m:t>
            </m:r>
            <m:r>
              <w:rPr>
                <w:rFonts w:ascii="Cambria Math"/>
              </w:rPr>
              <m:t>×</m:t>
            </m:r>
            <m:r>
              <w:rPr>
                <w:rFonts w:ascii="Cambria Math" w:hAnsi="Cambria Math"/>
              </w:rPr>
              <m:t>TN</m:t>
            </m:r>
          </m:e>
        </m:d>
        <m:r>
          <w:rPr>
            <w:rFonts w:ascii="Cambria Math" w:hAnsi="Cambria Math"/>
          </w:rPr>
          <m:t>-</m:t>
        </m:r>
        <m:d>
          <m:dPr>
            <m:ctrlPr>
              <w:rPr>
                <w:rFonts w:ascii="Cambria Math" w:hAnsi="Cambria Math"/>
                <w:i/>
              </w:rPr>
            </m:ctrlPr>
          </m:dPr>
          <m:e>
            <m:r>
              <w:rPr>
                <w:rFonts w:ascii="Cambria Math" w:hAnsi="Cambria Math"/>
              </w:rPr>
              <m:t>FP</m:t>
            </m:r>
            <m:r>
              <w:rPr>
                <w:rFonts w:ascii="Cambria Math"/>
              </w:rPr>
              <m:t>×</m:t>
            </m:r>
            <m:r>
              <w:rPr>
                <w:rFonts w:ascii="Cambria Math" w:hAnsi="Cambria Math"/>
              </w:rPr>
              <m:t>FN</m:t>
            </m:r>
          </m:e>
        </m:d>
        <m:r>
          <w:rPr>
            <w:rFonts w:ascii="Cambria Math"/>
          </w:rPr>
          <m:t>)/</m:t>
        </m:r>
        <m:r>
          <w:rPr>
            <w:rFonts w:ascii="Cambria Math"/>
          </w:rPr>
          <m:t>√</m:t>
        </m:r>
        <m:r>
          <w:rPr>
            <w:rFonts w:ascii="Cambria Math"/>
          </w:rPr>
          <m:t>(</m:t>
        </m:r>
        <m:d>
          <m:dPr>
            <m:ctrlPr>
              <w:rPr>
                <w:rFonts w:ascii="Cambria Math" w:hAnsi="Cambria Math"/>
                <w:i/>
              </w:rPr>
            </m:ctrlPr>
          </m:dPr>
          <m:e>
            <m:r>
              <w:rPr>
                <w:rFonts w:ascii="Cambria Math" w:hAnsi="Cambria Math"/>
              </w:rPr>
              <m:t>TP</m:t>
            </m:r>
            <m:r>
              <w:rPr>
                <w:rFonts w:ascii="Cambria Math"/>
              </w:rPr>
              <m:t>+</m:t>
            </m:r>
            <m:r>
              <w:rPr>
                <w:rFonts w:ascii="Cambria Math" w:hAnsi="Cambria Math"/>
              </w:rPr>
              <m:t>FP</m:t>
            </m:r>
          </m:e>
        </m:d>
        <m:r>
          <w:rPr>
            <w:rFonts w:ascii="Cambria Math"/>
          </w:rPr>
          <m:t>×</m:t>
        </m:r>
        <m:d>
          <m:dPr>
            <m:ctrlPr>
              <w:rPr>
                <w:rFonts w:ascii="Cambria Math" w:hAnsi="Cambria Math"/>
                <w:i/>
              </w:rPr>
            </m:ctrlPr>
          </m:dPr>
          <m:e>
            <m:r>
              <w:rPr>
                <w:rFonts w:ascii="Cambria Math" w:hAnsi="Cambria Math"/>
              </w:rPr>
              <m:t>TP</m:t>
            </m:r>
            <m:r>
              <w:rPr>
                <w:rFonts w:ascii="Cambria Math"/>
              </w:rPr>
              <m:t>+</m:t>
            </m:r>
            <m:r>
              <w:rPr>
                <w:rFonts w:ascii="Cambria Math" w:hAnsi="Cambria Math"/>
              </w:rPr>
              <m:t>FN</m:t>
            </m:r>
          </m:e>
        </m:d>
        <m:r>
          <w:rPr>
            <w:rFonts w:ascii="Cambria Math"/>
          </w:rPr>
          <m:t>×</m:t>
        </m:r>
        <m:d>
          <m:dPr>
            <m:ctrlPr>
              <w:rPr>
                <w:rFonts w:ascii="Cambria Math" w:hAnsi="Cambria Math"/>
                <w:i/>
              </w:rPr>
            </m:ctrlPr>
          </m:dPr>
          <m:e>
            <m:r>
              <w:rPr>
                <w:rFonts w:ascii="Cambria Math" w:hAnsi="Cambria Math"/>
              </w:rPr>
              <m:t>TN</m:t>
            </m:r>
            <m:r>
              <w:rPr>
                <w:rFonts w:ascii="Cambria Math"/>
              </w:rPr>
              <m:t>+</m:t>
            </m:r>
            <m:r>
              <w:rPr>
                <w:rFonts w:ascii="Cambria Math" w:hAnsi="Cambria Math"/>
              </w:rPr>
              <m:t>FP</m:t>
            </m:r>
          </m:e>
        </m:d>
        <m:r>
          <w:rPr>
            <w:rFonts w:ascii="Cambria Math"/>
          </w:rPr>
          <m:t>×</m:t>
        </m:r>
        <m:d>
          <m:dPr>
            <m:ctrlPr>
              <w:rPr>
                <w:rFonts w:ascii="Cambria Math" w:hAnsi="Cambria Math"/>
                <w:i/>
              </w:rPr>
            </m:ctrlPr>
          </m:dPr>
          <m:e>
            <m:r>
              <w:rPr>
                <w:rFonts w:ascii="Cambria Math" w:hAnsi="Cambria Math"/>
              </w:rPr>
              <m:t>TN</m:t>
            </m:r>
            <m:r>
              <w:rPr>
                <w:rFonts w:ascii="Cambria Math"/>
              </w:rPr>
              <m:t>+</m:t>
            </m:r>
            <m:r>
              <w:rPr>
                <w:rFonts w:ascii="Cambria Math" w:hAnsi="Cambria Math"/>
              </w:rPr>
              <m:t>FN</m:t>
            </m:r>
          </m:e>
        </m:d>
        <m:r>
          <w:rPr>
            <w:rFonts w:ascii="Cambria Math"/>
          </w:rPr>
          <m:t>)</m:t>
        </m:r>
      </m:oMath>
      <w:r w:rsidR="00E6005A">
        <w:rPr>
          <w:rFonts w:ascii="Times New Roman" w:hAnsi="Times New Roman" w:cs="Times New Roman"/>
        </w:rPr>
        <w:t xml:space="preserve">     (14)</w:t>
      </w:r>
    </w:p>
    <w:p w:rsidR="004F7E43" w:rsidRDefault="004F7E43" w:rsidP="00BD71DD">
      <w:pPr>
        <w:pStyle w:val="ListParagraph"/>
        <w:spacing w:line="480" w:lineRule="auto"/>
        <w:ind w:left="0"/>
      </w:pPr>
      <w:proofErr w:type="gramStart"/>
      <w:r w:rsidRPr="00810845">
        <w:t>where</w:t>
      </w:r>
      <w:proofErr w:type="gramEnd"/>
      <w:r w:rsidRPr="00810845">
        <w:t>, TP (true positives):</w:t>
      </w:r>
      <w:r w:rsidRPr="00840FDC">
        <w:t xml:space="preserve"> </w:t>
      </w:r>
      <w:r>
        <w:t xml:space="preserve">Proteins </w:t>
      </w:r>
      <w:r w:rsidRPr="00840FDC">
        <w:t xml:space="preserve">correctly predicted </w:t>
      </w:r>
      <w:r>
        <w:t>as AFPs</w:t>
      </w:r>
      <w:r w:rsidRPr="00840FDC">
        <w:t xml:space="preserve">, </w:t>
      </w:r>
      <w:r w:rsidRPr="00810845">
        <w:t>FP (false positives):</w:t>
      </w:r>
      <w:r w:rsidRPr="00840FDC">
        <w:t xml:space="preserve"> </w:t>
      </w:r>
      <w:r>
        <w:t>Proteins</w:t>
      </w:r>
      <w:r w:rsidRPr="00840FDC">
        <w:t xml:space="preserve"> incorrectly predicted as </w:t>
      </w:r>
      <w:r>
        <w:t>AFPs</w:t>
      </w:r>
      <w:r w:rsidRPr="00840FDC">
        <w:t xml:space="preserve">, </w:t>
      </w:r>
      <w:r w:rsidRPr="00810845">
        <w:t>TN (true negatives):</w:t>
      </w:r>
      <w:r w:rsidRPr="00840FDC">
        <w:t xml:space="preserve"> </w:t>
      </w:r>
      <w:r>
        <w:t>Proteins</w:t>
      </w:r>
      <w:r w:rsidRPr="00840FDC">
        <w:t xml:space="preserve"> correctly predicted </w:t>
      </w:r>
      <w:r w:rsidR="00FE5991">
        <w:t>as non-</w:t>
      </w:r>
      <w:r>
        <w:t>AFPs</w:t>
      </w:r>
      <w:r w:rsidRPr="00840FDC">
        <w:t xml:space="preserve"> and </w:t>
      </w:r>
      <w:r w:rsidRPr="00810845">
        <w:t>FN (false negatives):</w:t>
      </w:r>
      <w:r w:rsidRPr="00840FDC">
        <w:t xml:space="preserve"> </w:t>
      </w:r>
      <w:r>
        <w:t xml:space="preserve">Proteins </w:t>
      </w:r>
      <w:r w:rsidRPr="00840FDC">
        <w:t xml:space="preserve">incorrectly predicted as </w:t>
      </w:r>
      <w:r w:rsidR="00FE5991">
        <w:t>non-</w:t>
      </w:r>
      <w:r>
        <w:t>AFPs.</w:t>
      </w:r>
    </w:p>
    <w:p w:rsidR="004F7E43" w:rsidRDefault="004F7E43" w:rsidP="00BD71DD">
      <w:pPr>
        <w:pStyle w:val="ListParagraph"/>
        <w:spacing w:line="480" w:lineRule="auto"/>
        <w:ind w:left="0"/>
      </w:pPr>
    </w:p>
    <w:p w:rsidR="0055483C" w:rsidRDefault="0055483C" w:rsidP="00BD71DD">
      <w:pPr>
        <w:pStyle w:val="ListParagraph"/>
        <w:spacing w:line="480" w:lineRule="auto"/>
        <w:ind w:left="0"/>
      </w:pPr>
    </w:p>
    <w:p w:rsidR="0055483C" w:rsidRDefault="0055483C" w:rsidP="00BD71DD">
      <w:pPr>
        <w:pStyle w:val="ListParagraph"/>
        <w:spacing w:line="480" w:lineRule="auto"/>
        <w:ind w:left="0"/>
      </w:pPr>
    </w:p>
    <w:p w:rsidR="006006B0" w:rsidRDefault="006006B0" w:rsidP="00BD71DD">
      <w:pPr>
        <w:pStyle w:val="ListParagraph"/>
        <w:numPr>
          <w:ilvl w:val="0"/>
          <w:numId w:val="1"/>
        </w:numPr>
        <w:spacing w:line="480" w:lineRule="auto"/>
        <w:rPr>
          <w:b/>
        </w:rPr>
      </w:pPr>
      <w:r w:rsidRPr="006006B0">
        <w:rPr>
          <w:b/>
        </w:rPr>
        <w:lastRenderedPageBreak/>
        <w:t>Results and Discussion</w:t>
      </w:r>
    </w:p>
    <w:p w:rsidR="006006B0" w:rsidRPr="007408DD" w:rsidRDefault="006006B0" w:rsidP="00BD71DD">
      <w:pPr>
        <w:pStyle w:val="ListParagraph"/>
        <w:numPr>
          <w:ilvl w:val="1"/>
          <w:numId w:val="1"/>
        </w:numPr>
        <w:spacing w:line="480" w:lineRule="auto"/>
        <w:rPr>
          <w:b/>
          <w:i/>
        </w:rPr>
      </w:pPr>
      <w:r w:rsidRPr="007408DD">
        <w:rPr>
          <w:b/>
          <w:i/>
        </w:rPr>
        <w:t>Optimal parameters for feature extraction</w:t>
      </w:r>
    </w:p>
    <w:p w:rsidR="006006B0" w:rsidRDefault="00EA78DA" w:rsidP="00BD71DD">
      <w:pPr>
        <w:pStyle w:val="ListParagraph"/>
        <w:spacing w:line="480" w:lineRule="auto"/>
        <w:ind w:left="0"/>
      </w:pPr>
      <w:r w:rsidRPr="00EA78DA">
        <w:t>Prediction of protein attributes requires selection of key</w:t>
      </w:r>
      <w:r>
        <w:rPr>
          <w:color w:val="FF0000"/>
        </w:rPr>
        <w:t xml:space="preserve"> </w:t>
      </w:r>
      <w:r w:rsidRPr="00EA78DA">
        <w:t xml:space="preserve">representative parameters for improved quality. </w:t>
      </w:r>
      <w:r w:rsidR="002B3341">
        <w:t xml:space="preserve">In this study, </w:t>
      </w:r>
      <w:r w:rsidR="00E43FB2">
        <w:t xml:space="preserve">various combination </w:t>
      </w:r>
      <w:proofErr w:type="gramStart"/>
      <w:r w:rsidR="0035070D">
        <w:t xml:space="preserve">of </w:t>
      </w:r>
      <w:proofErr w:type="gramEnd"/>
      <w:r w:rsidR="00E43FB2" w:rsidRPr="0035070D">
        <w:rPr>
          <w:i/>
        </w:rPr>
        <w:sym w:font="Symbol" w:char="F06C"/>
      </w:r>
      <w:r w:rsidR="00E43FB2">
        <w:t xml:space="preserve">, </w:t>
      </w:r>
      <w:r w:rsidR="00E43FB2" w:rsidRPr="0035070D">
        <w:rPr>
          <w:i/>
        </w:rPr>
        <w:sym w:font="Symbol" w:char="F077"/>
      </w:r>
      <w:r w:rsidR="00E43FB2">
        <w:t xml:space="preserve"> and modes of pseudo amino acid composition and SVMs were generated for predictor</w:t>
      </w:r>
      <w:r>
        <w:t xml:space="preserve"> development by grid searching</w:t>
      </w:r>
      <w:r w:rsidR="002B3341">
        <w:t xml:space="preserve"> on 300 positive and 300 negative examples</w:t>
      </w:r>
      <w:r>
        <w:t>.</w:t>
      </w:r>
      <w:r w:rsidR="002B3341">
        <w:t xml:space="preserve"> Since the </w:t>
      </w:r>
      <w:r w:rsidR="00E64E21">
        <w:t>number of positive examples was</w:t>
      </w:r>
      <w:r w:rsidR="002B3341">
        <w:t xml:space="preserve"> limited, we considered the same set of 300 antifreeze proteins as positive examples for all training purposes. </w:t>
      </w:r>
      <w:r>
        <w:t xml:space="preserve"> </w:t>
      </w:r>
      <w:r w:rsidR="006006B0" w:rsidRPr="006006B0">
        <w:t>Figure 1</w:t>
      </w:r>
      <w:r w:rsidR="006006B0">
        <w:t xml:space="preserve"> shows the </w:t>
      </w:r>
      <w:r w:rsidR="00E43FB2">
        <w:t>p</w:t>
      </w:r>
      <w:r>
        <w:t>erformance evaluation</w:t>
      </w:r>
      <w:r w:rsidR="00E43FB2">
        <w:t xml:space="preserve"> </w:t>
      </w:r>
      <w:r>
        <w:t>(</w:t>
      </w:r>
      <w:r w:rsidR="00E43FB2">
        <w:t>MC</w:t>
      </w:r>
      <w:r>
        <w:t xml:space="preserve">C and Accuracy) for </w:t>
      </w:r>
      <w:proofErr w:type="gramStart"/>
      <w:r w:rsidR="005E7623">
        <w:t xml:space="preserve">various </w:t>
      </w:r>
      <w:proofErr w:type="gramEnd"/>
      <w:r w:rsidR="002B3341">
        <w:sym w:font="Symbol" w:char="F06C"/>
      </w:r>
      <w:r w:rsidR="002B3341">
        <w:t xml:space="preserve">, </w:t>
      </w:r>
      <w:r w:rsidR="002B3341">
        <w:sym w:font="Symbol" w:char="F077"/>
      </w:r>
      <w:r w:rsidR="002B3341">
        <w:t xml:space="preserve"> and modes of </w:t>
      </w:r>
      <w:proofErr w:type="spellStart"/>
      <w:r w:rsidR="002B3341">
        <w:t>pseAAC</w:t>
      </w:r>
      <w:proofErr w:type="spellEnd"/>
      <w:r w:rsidR="006006B0">
        <w:t>.</w:t>
      </w:r>
      <w:r w:rsidR="00E43FB2">
        <w:t xml:space="preserve"> </w:t>
      </w:r>
      <w:r w:rsidR="002B3341">
        <w:t xml:space="preserve">MCC and Accuracy were highest for </w:t>
      </w:r>
      <w:r w:rsidR="002B3341">
        <w:sym w:font="Symbol" w:char="F077"/>
      </w:r>
      <w:r w:rsidR="002B3341">
        <w:t xml:space="preserve"> = 0.05. Further, i</w:t>
      </w:r>
      <w:r w:rsidR="00E43FB2">
        <w:t xml:space="preserve">t can be seen that with increase </w:t>
      </w:r>
      <w:proofErr w:type="gramStart"/>
      <w:r w:rsidR="00E43FB2">
        <w:t xml:space="preserve">in </w:t>
      </w:r>
      <w:proofErr w:type="gramEnd"/>
      <w:r w:rsidR="00E43FB2">
        <w:sym w:font="Symbol" w:char="F077"/>
      </w:r>
      <w:r w:rsidR="00E43FB2">
        <w:t>, the quality of prediction is comprom</w:t>
      </w:r>
      <w:r>
        <w:t>ised. The best performing model was</w:t>
      </w:r>
      <w:r w:rsidR="00E43FB2">
        <w:t xml:space="preserve"> achieved for </w:t>
      </w:r>
      <w:r w:rsidR="00E43FB2">
        <w:sym w:font="Symbol" w:char="F077"/>
      </w:r>
      <w:r w:rsidR="00E43FB2">
        <w:t xml:space="preserve"> = 0.05</w:t>
      </w:r>
      <w:r w:rsidR="0035070D">
        <w:t xml:space="preserve"> and </w:t>
      </w:r>
      <w:r w:rsidR="00E43FB2">
        <w:t xml:space="preserve"> </w:t>
      </w:r>
      <w:r w:rsidR="00E43FB2">
        <w:sym w:font="Symbol" w:char="F06C"/>
      </w:r>
      <w:r w:rsidR="002B3341">
        <w:t xml:space="preserve"> = 5</w:t>
      </w:r>
      <w:r w:rsidR="00E43FB2">
        <w:t xml:space="preserve">; in </w:t>
      </w:r>
      <w:r w:rsidR="002B3341">
        <w:t xml:space="preserve">the </w:t>
      </w:r>
      <w:r w:rsidR="00E43FB2">
        <w:t>amphiphilic mode</w:t>
      </w:r>
      <w:r w:rsidR="0035070D">
        <w:t>, closely followed by p</w:t>
      </w:r>
      <w:r w:rsidR="002B3341">
        <w:t xml:space="preserve">erformance with </w:t>
      </w:r>
      <w:r w:rsidR="002B3341">
        <w:sym w:font="Symbol" w:char="F077"/>
      </w:r>
      <w:r w:rsidR="002B3341">
        <w:t xml:space="preserve"> = 0.05</w:t>
      </w:r>
      <w:r w:rsidR="0035070D">
        <w:t xml:space="preserve"> and</w:t>
      </w:r>
      <w:r w:rsidR="002B3341">
        <w:t xml:space="preserve"> </w:t>
      </w:r>
      <w:r w:rsidR="002B3341">
        <w:sym w:font="Symbol" w:char="F06C"/>
      </w:r>
      <w:r w:rsidR="002B3341">
        <w:t xml:space="preserve"> = 10; in the</w:t>
      </w:r>
      <w:r w:rsidR="0035070D">
        <w:t xml:space="preserve"> amphiphilic mode</w:t>
      </w:r>
      <w:r w:rsidR="002B3341">
        <w:t xml:space="preserve">. </w:t>
      </w:r>
      <w:r w:rsidR="003B4D26">
        <w:t>O</w:t>
      </w:r>
      <w:r w:rsidR="00204CE0">
        <w:t xml:space="preserve">ptimal features </w:t>
      </w:r>
      <w:r w:rsidR="003B4D26">
        <w:t xml:space="preserve">i.e. </w:t>
      </w:r>
      <w:r w:rsidR="003B4D26">
        <w:sym w:font="Symbol" w:char="F077"/>
      </w:r>
      <w:r w:rsidR="003B4D26">
        <w:t xml:space="preserve"> = 0.05 and lower values of </w:t>
      </w:r>
      <w:r w:rsidR="003B4D26">
        <w:sym w:font="Symbol" w:char="F06C"/>
      </w:r>
      <w:r w:rsidR="003B4D26">
        <w:t xml:space="preserve"> in the amphiphilic mode (Type 2) </w:t>
      </w:r>
      <w:r w:rsidR="00E43FB2">
        <w:t>were reserve</w:t>
      </w:r>
      <w:r w:rsidR="006006B0">
        <w:t>d for development of the predictor.</w:t>
      </w:r>
    </w:p>
    <w:p w:rsidR="006F578D" w:rsidRDefault="006F578D" w:rsidP="00BD71DD">
      <w:pPr>
        <w:pStyle w:val="ListParagraph"/>
        <w:spacing w:line="480" w:lineRule="auto"/>
        <w:ind w:left="0"/>
      </w:pPr>
    </w:p>
    <w:p w:rsidR="00ED244B" w:rsidRPr="007408DD" w:rsidRDefault="00ED244B" w:rsidP="00BD71DD">
      <w:pPr>
        <w:pStyle w:val="ListParagraph"/>
        <w:numPr>
          <w:ilvl w:val="1"/>
          <w:numId w:val="1"/>
        </w:numPr>
        <w:spacing w:line="480" w:lineRule="auto"/>
        <w:rPr>
          <w:b/>
          <w:i/>
        </w:rPr>
      </w:pPr>
      <w:r w:rsidRPr="007408DD">
        <w:rPr>
          <w:b/>
          <w:i/>
        </w:rPr>
        <w:t>Bias during selection of negative examples</w:t>
      </w:r>
    </w:p>
    <w:p w:rsidR="006006B0" w:rsidRDefault="00ED244B" w:rsidP="00BD71DD">
      <w:pPr>
        <w:spacing w:line="480" w:lineRule="auto"/>
      </w:pPr>
      <w:r>
        <w:t xml:space="preserve">To understand if selecting 300 examples from a 9493 proteins biased the prediction, we performed random selection of negative examples </w:t>
      </w:r>
      <w:r w:rsidR="00E43FB2">
        <w:t>thr</w:t>
      </w:r>
      <w:r w:rsidR="00183DDA">
        <w:t>ee times</w:t>
      </w:r>
      <w:r w:rsidR="00E43FB2">
        <w:t xml:space="preserve"> </w:t>
      </w:r>
      <w:r w:rsidR="00204CE0">
        <w:t>on non-overlappin</w:t>
      </w:r>
      <w:r w:rsidR="00183DDA">
        <w:t>g datasets. As shown in Table 1</w:t>
      </w:r>
      <w:r w:rsidR="00204CE0">
        <w:t xml:space="preserve"> f</w:t>
      </w:r>
      <w:r>
        <w:t>rom the</w:t>
      </w:r>
      <w:r w:rsidR="009B2932">
        <w:t xml:space="preserve"> prediction</w:t>
      </w:r>
      <w:r>
        <w:t xml:space="preserve"> performance, </w:t>
      </w:r>
      <w:r w:rsidR="00204CE0">
        <w:t xml:space="preserve">the average of  mathematical parameters of evaluation mentioned in Section 2.4 for all the generated models suggested the </w:t>
      </w:r>
      <w:r w:rsidR="00183DDA">
        <w:t xml:space="preserve">best </w:t>
      </w:r>
      <w:r w:rsidR="00204CE0">
        <w:t xml:space="preserve">values for </w:t>
      </w:r>
      <w:r w:rsidR="00204CE0">
        <w:sym w:font="Symbol" w:char="F06C"/>
      </w:r>
      <w:r w:rsidR="00204CE0">
        <w:t xml:space="preserve"> = </w:t>
      </w:r>
      <w:r w:rsidR="00DE721D">
        <w:t xml:space="preserve">10. The highest prediction accuracy was </w:t>
      </w:r>
      <w:r w:rsidR="00DE721D" w:rsidRPr="00ED7082">
        <w:t xml:space="preserve">89.69 </w:t>
      </w:r>
      <w:r w:rsidR="009F2F8A">
        <w:t>(</w:t>
      </w:r>
      <w:r w:rsidR="009F2F8A" w:rsidRPr="00ED7082">
        <w:t>0.706</w:t>
      </w:r>
      <w:r w:rsidR="009F2F8A">
        <w:t xml:space="preserve">) </w:t>
      </w:r>
      <w:r w:rsidR="00DE721D">
        <w:t>%, MCC = 0.800</w:t>
      </w:r>
      <w:r w:rsidR="009F2F8A">
        <w:t xml:space="preserve"> (0.0095)</w:t>
      </w:r>
      <w:r w:rsidR="00DE721D">
        <w:t xml:space="preserve">, sensitivity = 88.89 </w:t>
      </w:r>
      <w:r w:rsidR="009F2F8A">
        <w:t xml:space="preserve">(1.835) </w:t>
      </w:r>
      <w:r w:rsidR="00DE721D">
        <w:t xml:space="preserve">% and specificity = </w:t>
      </w:r>
      <w:r w:rsidR="00DE721D" w:rsidRPr="00ED7082">
        <w:t xml:space="preserve">91.00 </w:t>
      </w:r>
      <w:r w:rsidR="009F2F8A">
        <w:t xml:space="preserve">(0.330) </w:t>
      </w:r>
      <w:r w:rsidR="00DE721D">
        <w:t xml:space="preserve">%. </w:t>
      </w:r>
      <w:r w:rsidR="009F2F8A">
        <w:t>The standard deviation observed in t</w:t>
      </w:r>
      <w:r w:rsidR="00FD3AC5">
        <w:t xml:space="preserve">he </w:t>
      </w:r>
      <w:r w:rsidR="009F2F8A">
        <w:t xml:space="preserve">performance </w:t>
      </w:r>
      <w:r w:rsidR="00FD3AC5">
        <w:t>e</w:t>
      </w:r>
      <w:r w:rsidR="00183DDA">
        <w:t>valuation parameters</w:t>
      </w:r>
      <w:r w:rsidR="00FD3AC5">
        <w:t xml:space="preserve"> over prediction performed three times was negligible. </w:t>
      </w:r>
      <w:r w:rsidR="00204CE0">
        <w:lastRenderedPageBreak/>
        <w:t xml:space="preserve">Therefore, it can be said that the </w:t>
      </w:r>
      <w:r>
        <w:t xml:space="preserve">bias associated with selection of negative examples was minimally influential, if at all. </w:t>
      </w:r>
    </w:p>
    <w:p w:rsidR="006F578D" w:rsidRDefault="006F578D" w:rsidP="00BD71DD">
      <w:pPr>
        <w:spacing w:line="480" w:lineRule="auto"/>
      </w:pPr>
    </w:p>
    <w:p w:rsidR="00ED244B" w:rsidRPr="007408DD" w:rsidRDefault="00ED244B" w:rsidP="00BD71DD">
      <w:pPr>
        <w:pStyle w:val="ListParagraph"/>
        <w:numPr>
          <w:ilvl w:val="1"/>
          <w:numId w:val="1"/>
        </w:numPr>
        <w:spacing w:line="480" w:lineRule="auto"/>
        <w:rPr>
          <w:b/>
          <w:i/>
        </w:rPr>
      </w:pPr>
      <w:r w:rsidRPr="007408DD">
        <w:rPr>
          <w:b/>
          <w:i/>
        </w:rPr>
        <w:t>Bias on account of number of negative examples</w:t>
      </w:r>
    </w:p>
    <w:p w:rsidR="009B2932" w:rsidRDefault="00183DDA" w:rsidP="00BD71DD">
      <w:pPr>
        <w:spacing w:line="480" w:lineRule="auto"/>
      </w:pPr>
      <w:r>
        <w:t>After exploring the selection bias, we</w:t>
      </w:r>
      <w:r w:rsidR="00982827">
        <w:t xml:space="preserve"> investigat</w:t>
      </w:r>
      <w:r>
        <w:t>ed</w:t>
      </w:r>
      <w:r w:rsidR="00982827">
        <w:t xml:space="preserve"> into</w:t>
      </w:r>
      <w:r w:rsidR="00ED244B">
        <w:t xml:space="preserve"> the influence of the number of negative examples</w:t>
      </w:r>
      <w:r>
        <w:t xml:space="preserve"> on prediction. We</w:t>
      </w:r>
      <w:r w:rsidR="00ED244B">
        <w:t xml:space="preserve"> </w:t>
      </w:r>
      <w:r>
        <w:t>included</w:t>
      </w:r>
      <w:r w:rsidR="00ED244B">
        <w:t xml:space="preserve"> 900 </w:t>
      </w:r>
      <w:r w:rsidR="009B2932">
        <w:t>non</w:t>
      </w:r>
      <w:r w:rsidR="00FE5991">
        <w:t>-AFPs</w:t>
      </w:r>
      <w:r w:rsidR="00FD3AC5">
        <w:t xml:space="preserve"> (</w:t>
      </w:r>
      <w:r w:rsidR="00ED244B">
        <w:t>three times higher than the number of positive examples</w:t>
      </w:r>
      <w:r w:rsidR="00FD3AC5">
        <w:t xml:space="preserve"> = 300</w:t>
      </w:r>
      <w:r w:rsidR="00ED244B">
        <w:t>)</w:t>
      </w:r>
      <w:r w:rsidR="009B2932">
        <w:t xml:space="preserve"> during the prediction</w:t>
      </w:r>
      <w:r>
        <w:t>. This</w:t>
      </w:r>
      <w:r w:rsidR="00FD3AC5">
        <w:t xml:space="preserve"> showed increase in accuracy from </w:t>
      </w:r>
      <w:r w:rsidR="00FD3AC5" w:rsidRPr="00ED7082">
        <w:t>89.69</w:t>
      </w:r>
      <w:r w:rsidR="00FD3AC5">
        <w:t xml:space="preserve"> % to 91.25 %; s</w:t>
      </w:r>
      <w:r w:rsidR="00982827">
        <w:t xml:space="preserve">pecificity </w:t>
      </w:r>
      <w:r w:rsidR="00FD3AC5">
        <w:t xml:space="preserve">from 91.00 % to 96.78 </w:t>
      </w:r>
      <w:r w:rsidR="001E2865">
        <w:t>%;</w:t>
      </w:r>
      <w:r w:rsidR="00982827">
        <w:t xml:space="preserve"> </w:t>
      </w:r>
      <w:r w:rsidR="00FD3AC5">
        <w:t>decrease in</w:t>
      </w:r>
      <w:r w:rsidR="00982827">
        <w:t xml:space="preserve"> MCC </w:t>
      </w:r>
      <w:r w:rsidR="00FD3AC5">
        <w:t xml:space="preserve">from 0.800 to 0.762; and compromised </w:t>
      </w:r>
      <w:r w:rsidR="009B2932">
        <w:t>sensitivity</w:t>
      </w:r>
      <w:r w:rsidR="00FD3AC5">
        <w:t xml:space="preserve"> from </w:t>
      </w:r>
      <w:r w:rsidR="00FD3AC5" w:rsidRPr="00ED7082">
        <w:t xml:space="preserve">88.89 </w:t>
      </w:r>
      <w:r w:rsidR="00FD3AC5">
        <w:t xml:space="preserve">% to </w:t>
      </w:r>
      <w:r w:rsidR="00FD3AC5" w:rsidRPr="00ED7082">
        <w:t>77.67</w:t>
      </w:r>
      <w:r w:rsidR="00FD3AC5">
        <w:t xml:space="preserve"> %</w:t>
      </w:r>
      <w:r w:rsidR="009B2932">
        <w:t xml:space="preserve">. </w:t>
      </w:r>
      <w:r w:rsidR="00982827">
        <w:t>However, if analyzed in relation with positive and negative examples used in the ratio 1:1, the performance of the predictor models w</w:t>
      </w:r>
      <w:r w:rsidR="00FD3AC5">
        <w:t xml:space="preserve">as better with balanced dataset, </w:t>
      </w:r>
      <w:r w:rsidR="001E2865">
        <w:t>as can be seen in Section 3.2</w:t>
      </w:r>
      <w:r w:rsidR="00982827">
        <w:t xml:space="preserve">. </w:t>
      </w:r>
      <w:r w:rsidR="009B2932">
        <w:t xml:space="preserve">Therefore, </w:t>
      </w:r>
      <w:r w:rsidR="001E2865">
        <w:t>1:1</w:t>
      </w:r>
      <w:r w:rsidR="00982827">
        <w:t xml:space="preserve"> ratio of examples in dataset </w:t>
      </w:r>
      <w:r w:rsidR="009B2932">
        <w:t xml:space="preserve">was maintained throughout the predictor development process. </w:t>
      </w:r>
    </w:p>
    <w:p w:rsidR="006F578D" w:rsidRDefault="006F578D" w:rsidP="00BD71DD">
      <w:pPr>
        <w:spacing w:line="480" w:lineRule="auto"/>
      </w:pPr>
    </w:p>
    <w:p w:rsidR="009B2932" w:rsidRPr="007408DD" w:rsidRDefault="009B2932" w:rsidP="00BD71DD">
      <w:pPr>
        <w:pStyle w:val="ListParagraph"/>
        <w:numPr>
          <w:ilvl w:val="1"/>
          <w:numId w:val="1"/>
        </w:numPr>
        <w:spacing w:line="480" w:lineRule="auto"/>
        <w:rPr>
          <w:b/>
          <w:i/>
        </w:rPr>
      </w:pPr>
      <w:r w:rsidRPr="007408DD">
        <w:rPr>
          <w:b/>
          <w:i/>
        </w:rPr>
        <w:t xml:space="preserve">Performance evaluation and </w:t>
      </w:r>
      <w:r w:rsidR="00982827" w:rsidRPr="007408DD">
        <w:rPr>
          <w:b/>
          <w:i/>
        </w:rPr>
        <w:t>comparison with AFP</w:t>
      </w:r>
      <w:r w:rsidR="00C843F4" w:rsidRPr="007408DD">
        <w:rPr>
          <w:b/>
          <w:i/>
        </w:rPr>
        <w:t>-</w:t>
      </w:r>
      <w:proofErr w:type="spellStart"/>
      <w:r w:rsidR="00C843F4" w:rsidRPr="007408DD">
        <w:rPr>
          <w:b/>
          <w:i/>
        </w:rPr>
        <w:t>Pred</w:t>
      </w:r>
      <w:proofErr w:type="spellEnd"/>
      <w:r w:rsidR="00C843F4" w:rsidRPr="007408DD">
        <w:rPr>
          <w:b/>
          <w:i/>
        </w:rPr>
        <w:t xml:space="preserve"> and </w:t>
      </w:r>
      <w:proofErr w:type="spellStart"/>
      <w:r w:rsidR="00C843F4" w:rsidRPr="007408DD">
        <w:rPr>
          <w:b/>
          <w:i/>
        </w:rPr>
        <w:t>iAFP</w:t>
      </w:r>
      <w:proofErr w:type="spellEnd"/>
    </w:p>
    <w:p w:rsidR="00183DDA" w:rsidRDefault="00183DDA" w:rsidP="00BD71DD">
      <w:pPr>
        <w:spacing w:line="480" w:lineRule="auto"/>
      </w:pPr>
      <w:r>
        <w:t xml:space="preserve">After selection of </w:t>
      </w:r>
      <w:r w:rsidR="004662A7" w:rsidRPr="004662A7">
        <w:t>optim</w:t>
      </w:r>
      <w:r>
        <w:t>al</w:t>
      </w:r>
      <w:r w:rsidR="004662A7" w:rsidRPr="004662A7">
        <w:t xml:space="preserve"> parameters and search for possible bias </w:t>
      </w:r>
      <w:r>
        <w:t xml:space="preserve">as mentioned in </w:t>
      </w:r>
      <w:r w:rsidR="00C843F4">
        <w:t>above s</w:t>
      </w:r>
      <w:r>
        <w:t>ection</w:t>
      </w:r>
      <w:r w:rsidR="00C843F4">
        <w:t>s</w:t>
      </w:r>
      <w:r w:rsidR="001E2865">
        <w:t>, the</w:t>
      </w:r>
      <w:r w:rsidR="004662A7" w:rsidRPr="004662A7">
        <w:t xml:space="preserve"> </w:t>
      </w:r>
      <w:r>
        <w:t xml:space="preserve">best model was selected for </w:t>
      </w:r>
      <w:r w:rsidR="004662A7" w:rsidRPr="004662A7">
        <w:t xml:space="preserve">AFP predictor development and named as </w:t>
      </w:r>
      <w:r w:rsidR="000124EA">
        <w:t>AFP-</w:t>
      </w:r>
      <w:proofErr w:type="spellStart"/>
      <w:r w:rsidR="000124EA">
        <w:t>PseAAC</w:t>
      </w:r>
      <w:proofErr w:type="spellEnd"/>
      <w:r w:rsidR="004662A7" w:rsidRPr="004662A7">
        <w:t>.</w:t>
      </w:r>
      <w:r w:rsidR="00EA057A">
        <w:t xml:space="preserve"> </w:t>
      </w:r>
      <w:r w:rsidR="00C843F4">
        <w:t xml:space="preserve">Precisely, this included </w:t>
      </w:r>
      <w:proofErr w:type="spellStart"/>
      <w:r w:rsidR="00C843F4">
        <w:t>pseAAC</w:t>
      </w:r>
      <w:proofErr w:type="spellEnd"/>
      <w:r w:rsidR="00C843F4">
        <w:t xml:space="preserve"> parameters </w:t>
      </w:r>
      <w:r w:rsidR="00C843F4">
        <w:sym w:font="Symbol" w:char="F077"/>
      </w:r>
      <w:r w:rsidR="00C843F4">
        <w:t xml:space="preserve"> = 0.05 and </w:t>
      </w:r>
      <w:r w:rsidR="00C843F4">
        <w:sym w:font="Symbol" w:char="F06C"/>
      </w:r>
      <w:r w:rsidR="00C843F4">
        <w:t xml:space="preserve"> = 10 in amphiphilic mode; SVM parameters C = 25 and </w:t>
      </w:r>
      <w:r w:rsidR="00C843F4" w:rsidRPr="007A154F">
        <w:rPr>
          <w:i/>
        </w:rPr>
        <w:t>γ</w:t>
      </w:r>
      <w:r w:rsidR="00C843F4" w:rsidRPr="007A154F">
        <w:t xml:space="preserve"> </w:t>
      </w:r>
      <w:r w:rsidR="00C843F4">
        <w:t>= 0.0005 and 1:1 ratio of training dataset.</w:t>
      </w:r>
    </w:p>
    <w:p w:rsidR="00996929" w:rsidRDefault="00996929" w:rsidP="00BD71DD">
      <w:pPr>
        <w:spacing w:line="480" w:lineRule="auto"/>
      </w:pPr>
    </w:p>
    <w:p w:rsidR="004662A7" w:rsidRDefault="00183DDA" w:rsidP="00BD71DD">
      <w:pPr>
        <w:spacing w:line="480" w:lineRule="auto"/>
      </w:pPr>
      <w:r>
        <w:lastRenderedPageBreak/>
        <w:t xml:space="preserve">Upon screening of protein examples </w:t>
      </w:r>
      <w:r w:rsidR="00F165B4">
        <w:t>ex</w:t>
      </w:r>
      <w:r>
        <w:t>cluded f</w:t>
      </w:r>
      <w:r w:rsidR="00F165B4">
        <w:t>rom</w:t>
      </w:r>
      <w:r>
        <w:t xml:space="preserve"> training of the predictor (independent test dataset)</w:t>
      </w:r>
      <w:r w:rsidR="004662A7">
        <w:t xml:space="preserve"> an accuracy of </w:t>
      </w:r>
      <w:r w:rsidR="001B7208">
        <w:t>84.75%</w:t>
      </w:r>
      <w:r w:rsidR="00F158E2">
        <w:t>, sensitivity of 86.19 % and specificity of 84.72 %</w:t>
      </w:r>
      <w:r>
        <w:t xml:space="preserve"> was obtained as shown in Table 2.</w:t>
      </w:r>
      <w:r w:rsidR="00F158E2">
        <w:t xml:space="preserve">  </w:t>
      </w:r>
      <w:r w:rsidR="006D1885" w:rsidRPr="006D1885">
        <w:t>These findings encouraged us to compare the performance of our method with that of other previously published met</w:t>
      </w:r>
      <w:r w:rsidR="006D1885">
        <w:t>hods, if their implementations we</w:t>
      </w:r>
      <w:r w:rsidR="006D1885" w:rsidRPr="006D1885">
        <w:t>re readily accessible.</w:t>
      </w:r>
      <w:r w:rsidR="006D1885">
        <w:t xml:space="preserve"> </w:t>
      </w:r>
    </w:p>
    <w:p w:rsidR="00062730" w:rsidRDefault="00062730" w:rsidP="00BD71DD">
      <w:pPr>
        <w:spacing w:line="480" w:lineRule="auto"/>
      </w:pPr>
    </w:p>
    <w:p w:rsidR="002B3323" w:rsidRDefault="006D1885" w:rsidP="00BD71DD">
      <w:pPr>
        <w:spacing w:line="480" w:lineRule="auto"/>
      </w:pPr>
      <w:r>
        <w:t>AFP-</w:t>
      </w:r>
      <w:proofErr w:type="spellStart"/>
      <w:r>
        <w:t>PseAAC</w:t>
      </w:r>
      <w:proofErr w:type="spellEnd"/>
      <w:r>
        <w:t xml:space="preserve"> was assessed in relation with AFP-</w:t>
      </w:r>
      <w:proofErr w:type="spellStart"/>
      <w:r>
        <w:t>Pred</w:t>
      </w:r>
      <w:proofErr w:type="spellEnd"/>
      <w:r>
        <w:t xml:space="preserve"> and </w:t>
      </w:r>
      <w:proofErr w:type="spellStart"/>
      <w:r>
        <w:t>iAFP</w:t>
      </w:r>
      <w:proofErr w:type="spellEnd"/>
      <w:r>
        <w:t xml:space="preserve"> to gain insights into its</w:t>
      </w:r>
      <w:r w:rsidR="00B617BA">
        <w:t xml:space="preserve"> relative prediction power</w:t>
      </w:r>
      <w:r>
        <w:t xml:space="preserve"> on </w:t>
      </w:r>
      <w:r w:rsidR="00DD3DCF">
        <w:t xml:space="preserve">the </w:t>
      </w:r>
      <w:r>
        <w:t>independent test dataset</w:t>
      </w:r>
      <w:r w:rsidR="00183DDA">
        <w:t xml:space="preserve">. </w:t>
      </w:r>
      <w:r w:rsidR="0074037D">
        <w:t>While AFP-</w:t>
      </w:r>
      <w:proofErr w:type="spellStart"/>
      <w:r w:rsidR="0074037D">
        <w:t>PseAAC</w:t>
      </w:r>
      <w:proofErr w:type="spellEnd"/>
      <w:r w:rsidR="0074037D">
        <w:t xml:space="preserve"> achieved an accuracy and specificity of (84.75 %, 84.72 %); these values seen for </w:t>
      </w:r>
      <w:r w:rsidR="00183DDA">
        <w:t>AFP-</w:t>
      </w:r>
      <w:proofErr w:type="spellStart"/>
      <w:r w:rsidR="00183DDA">
        <w:t>Pred</w:t>
      </w:r>
      <w:proofErr w:type="spellEnd"/>
      <w:r w:rsidR="00183DDA">
        <w:t xml:space="preserve"> </w:t>
      </w:r>
      <w:r w:rsidR="0074037D">
        <w:t xml:space="preserve">and </w:t>
      </w:r>
      <w:proofErr w:type="spellStart"/>
      <w:r w:rsidR="0074037D">
        <w:t>iAFP</w:t>
      </w:r>
      <w:proofErr w:type="spellEnd"/>
      <w:r w:rsidR="0074037D">
        <w:t xml:space="preserve"> were (</w:t>
      </w:r>
      <w:r w:rsidR="003B35AB">
        <w:t>69.86 %</w:t>
      </w:r>
      <w:r w:rsidR="0074037D">
        <w:t>,</w:t>
      </w:r>
      <w:r w:rsidR="003B35AB">
        <w:t xml:space="preserve"> </w:t>
      </w:r>
      <w:r w:rsidR="0074037D">
        <w:t>69.67 %) and</w:t>
      </w:r>
      <w:r w:rsidR="00183DDA">
        <w:t xml:space="preserve"> </w:t>
      </w:r>
      <w:r w:rsidR="0074037D">
        <w:t>(</w:t>
      </w:r>
      <w:r w:rsidR="003B35AB">
        <w:t>95.46%</w:t>
      </w:r>
      <w:r w:rsidR="0074037D">
        <w:t>, 97.38 %)</w:t>
      </w:r>
      <w:r w:rsidR="003B35AB">
        <w:t xml:space="preserve"> </w:t>
      </w:r>
      <w:r w:rsidR="0074037D">
        <w:t>respectively</w:t>
      </w:r>
      <w:r w:rsidR="008C3990">
        <w:t xml:space="preserve">. </w:t>
      </w:r>
      <w:r w:rsidR="00F158E2">
        <w:t xml:space="preserve">The high accuracy and specificity achieved for </w:t>
      </w:r>
      <w:proofErr w:type="spellStart"/>
      <w:r w:rsidR="00F158E2">
        <w:t>iAFP</w:t>
      </w:r>
      <w:proofErr w:type="spellEnd"/>
      <w:r w:rsidR="00F158E2">
        <w:t>, i.e., above 95%, was notably accompanied with extremely</w:t>
      </w:r>
      <w:r w:rsidR="004662A7">
        <w:t xml:space="preserve"> low</w:t>
      </w:r>
      <w:r w:rsidR="003B35AB">
        <w:t xml:space="preserve"> sensitivity</w:t>
      </w:r>
      <w:r w:rsidR="004662A7">
        <w:t>, i.e.</w:t>
      </w:r>
      <w:r w:rsidR="00F158E2">
        <w:t>,</w:t>
      </w:r>
      <w:r w:rsidR="004662A7">
        <w:t xml:space="preserve"> 7.18%</w:t>
      </w:r>
      <w:r w:rsidR="003B35AB">
        <w:t>.</w:t>
      </w:r>
      <w:r w:rsidR="00FD3AC5">
        <w:t xml:space="preserve"> </w:t>
      </w:r>
      <w:r w:rsidR="00F158E2">
        <w:t>On the contrary</w:t>
      </w:r>
      <w:r w:rsidR="0074037D">
        <w:t>,</w:t>
      </w:r>
      <w:r w:rsidR="00F158E2">
        <w:t xml:space="preserve"> </w:t>
      </w:r>
      <w:r w:rsidR="000124EA">
        <w:t>AFP-</w:t>
      </w:r>
      <w:proofErr w:type="spellStart"/>
      <w:r w:rsidR="000124EA">
        <w:t>PseAAC</w:t>
      </w:r>
      <w:proofErr w:type="spellEnd"/>
      <w:r w:rsidR="00F158E2">
        <w:t xml:space="preserve"> showed </w:t>
      </w:r>
      <w:r w:rsidR="0074037D">
        <w:t>sensitivity of 86.19%, followed by AFP-</w:t>
      </w:r>
      <w:proofErr w:type="spellStart"/>
      <w:r w:rsidR="0074037D">
        <w:t>Pred</w:t>
      </w:r>
      <w:proofErr w:type="spellEnd"/>
      <w:r w:rsidR="0074037D">
        <w:t xml:space="preserve"> which reached close to 78.45%. C</w:t>
      </w:r>
      <w:r w:rsidR="00F158E2">
        <w:t>learly,</w:t>
      </w:r>
      <w:r w:rsidR="00FD3AC5">
        <w:t xml:space="preserve"> </w:t>
      </w:r>
      <w:r w:rsidR="0074037D">
        <w:t>AFP-</w:t>
      </w:r>
      <w:proofErr w:type="spellStart"/>
      <w:r w:rsidR="0074037D">
        <w:t>PseAAC</w:t>
      </w:r>
      <w:proofErr w:type="spellEnd"/>
      <w:r w:rsidR="0074037D">
        <w:t xml:space="preserve"> </w:t>
      </w:r>
      <w:r w:rsidR="00F158E2">
        <w:t>outperform</w:t>
      </w:r>
      <w:r w:rsidR="0074037D">
        <w:t>ed</w:t>
      </w:r>
      <w:r w:rsidR="004662A7">
        <w:t xml:space="preserve"> </w:t>
      </w:r>
      <w:r w:rsidR="0074037D">
        <w:t>AFP-</w:t>
      </w:r>
      <w:proofErr w:type="spellStart"/>
      <w:r w:rsidR="0074037D">
        <w:t>Pred</w:t>
      </w:r>
      <w:proofErr w:type="spellEnd"/>
      <w:r w:rsidR="0074037D">
        <w:t xml:space="preserve"> and </w:t>
      </w:r>
      <w:proofErr w:type="spellStart"/>
      <w:r w:rsidR="0074037D">
        <w:t>iAFP</w:t>
      </w:r>
      <w:proofErr w:type="spellEnd"/>
      <w:r w:rsidR="004662A7">
        <w:t xml:space="preserve">.  </w:t>
      </w:r>
    </w:p>
    <w:p w:rsidR="00EA057A" w:rsidRDefault="003B35AB" w:rsidP="00BD71DD">
      <w:pPr>
        <w:spacing w:line="480" w:lineRule="auto"/>
      </w:pPr>
      <w:r>
        <w:t xml:space="preserve"> </w:t>
      </w:r>
    </w:p>
    <w:p w:rsidR="003B35AB" w:rsidRDefault="00D336CE" w:rsidP="00BD71DD">
      <w:pPr>
        <w:spacing w:line="480" w:lineRule="auto"/>
      </w:pPr>
      <w:r>
        <w:t>Additionally</w:t>
      </w:r>
      <w:r w:rsidR="004662A7">
        <w:t xml:space="preserve">, to </w:t>
      </w:r>
      <w:r>
        <w:t>quantify</w:t>
      </w:r>
      <w:r w:rsidR="004662A7">
        <w:t xml:space="preserve"> </w:t>
      </w:r>
      <w:r>
        <w:t xml:space="preserve">the </w:t>
      </w:r>
      <w:r w:rsidR="004662A7">
        <w:t xml:space="preserve">relative performance of </w:t>
      </w:r>
      <w:r w:rsidR="000124EA">
        <w:t>AFP-</w:t>
      </w:r>
      <w:proofErr w:type="spellStart"/>
      <w:r w:rsidR="000124EA">
        <w:t>PseAAC</w:t>
      </w:r>
      <w:proofErr w:type="spellEnd"/>
      <w:r w:rsidR="004662A7">
        <w:t xml:space="preserve"> </w:t>
      </w:r>
      <w:r w:rsidR="00BE5735">
        <w:t xml:space="preserve">we </w:t>
      </w:r>
      <w:r w:rsidR="002C472E">
        <w:t>applie</w:t>
      </w:r>
      <w:r w:rsidR="00BE5735">
        <w:t>d</w:t>
      </w:r>
      <w:r>
        <w:t xml:space="preserve"> the </w:t>
      </w:r>
      <w:proofErr w:type="spellStart"/>
      <w:r>
        <w:t>Youden’s</w:t>
      </w:r>
      <w:proofErr w:type="spellEnd"/>
      <w:r>
        <w:t xml:space="preserve"> Index</w:t>
      </w:r>
      <w:r w:rsidR="00BE5735">
        <w:t xml:space="preserve"> (J</w:t>
      </w:r>
      <w:r w:rsidR="00996929">
        <w:t xml:space="preserve"> = Sensitivity + Specificity -1</w:t>
      </w:r>
      <w:r w:rsidR="00BE5735">
        <w:t>)</w:t>
      </w:r>
      <w:r>
        <w:t xml:space="preserve"> </w:t>
      </w:r>
      <w:r w:rsidR="0054178B">
        <w:t>[</w:t>
      </w:r>
      <w:r w:rsidR="00A54C57">
        <w:t>20</w:t>
      </w:r>
      <w:r w:rsidR="0054178B">
        <w:t xml:space="preserve">] </w:t>
      </w:r>
      <w:r>
        <w:t xml:space="preserve">used for gaining insights into the relative performance of tests in general. </w:t>
      </w:r>
      <w:proofErr w:type="spellStart"/>
      <w:r>
        <w:t>Youden’s</w:t>
      </w:r>
      <w:proofErr w:type="spellEnd"/>
      <w:r>
        <w:t xml:space="preserve"> index gives the probability of an informed decision and is advantageous </w:t>
      </w:r>
      <w:r w:rsidR="00BE5735">
        <w:t>as it offers comparison of AFP prediction quality by means of a single informative parameter</w:t>
      </w:r>
      <w:r w:rsidR="0054178B">
        <w:t>.</w:t>
      </w:r>
      <w:r>
        <w:t xml:space="preserve"> </w:t>
      </w:r>
      <w:r w:rsidR="000124EA">
        <w:t>AFP-</w:t>
      </w:r>
      <w:proofErr w:type="spellStart"/>
      <w:r w:rsidR="000124EA">
        <w:t>PseAAC</w:t>
      </w:r>
      <w:proofErr w:type="spellEnd"/>
      <w:r w:rsidR="004662A7">
        <w:t xml:space="preserve"> s</w:t>
      </w:r>
      <w:r w:rsidR="00BE5735">
        <w:t xml:space="preserve">howed </w:t>
      </w:r>
      <w:r w:rsidR="004662A7">
        <w:t>J =</w:t>
      </w:r>
      <w:r w:rsidR="00F85816">
        <w:t xml:space="preserve"> 0.7</w:t>
      </w:r>
      <w:r w:rsidR="00252FC9">
        <w:t>1</w:t>
      </w:r>
      <w:r w:rsidR="00BE5735">
        <w:t>,</w:t>
      </w:r>
      <w:r w:rsidR="00F85816">
        <w:t xml:space="preserve"> </w:t>
      </w:r>
      <w:r w:rsidR="00383AF5">
        <w:t>followed by AFP-</w:t>
      </w:r>
      <w:proofErr w:type="spellStart"/>
      <w:r w:rsidR="00383AF5">
        <w:t>P</w:t>
      </w:r>
      <w:r w:rsidR="00F85816">
        <w:t>red</w:t>
      </w:r>
      <w:proofErr w:type="spellEnd"/>
      <w:r w:rsidR="00F85816">
        <w:t xml:space="preserve"> </w:t>
      </w:r>
      <w:r w:rsidR="00383AF5">
        <w:t xml:space="preserve">with J = </w:t>
      </w:r>
      <w:r w:rsidR="00F85816">
        <w:t xml:space="preserve">0.48 </w:t>
      </w:r>
      <w:r w:rsidR="00383AF5">
        <w:t xml:space="preserve">and then </w:t>
      </w:r>
      <w:proofErr w:type="spellStart"/>
      <w:r w:rsidR="00383AF5">
        <w:t>iAFP</w:t>
      </w:r>
      <w:proofErr w:type="spellEnd"/>
      <w:r w:rsidR="00383AF5">
        <w:t xml:space="preserve"> with J </w:t>
      </w:r>
      <w:r w:rsidR="00252FC9">
        <w:t>= 0.05</w:t>
      </w:r>
      <w:r w:rsidR="00BE5735">
        <w:t xml:space="preserve">, as shown in Table </w:t>
      </w:r>
      <w:r w:rsidR="00A54C57">
        <w:t xml:space="preserve">2. </w:t>
      </w:r>
      <w:r w:rsidR="00BE5735">
        <w:t>Since J value for AFP-</w:t>
      </w:r>
      <w:proofErr w:type="spellStart"/>
      <w:r w:rsidR="00BE5735">
        <w:t>PseAAC</w:t>
      </w:r>
      <w:proofErr w:type="spellEnd"/>
      <w:r w:rsidR="00BE5735">
        <w:t xml:space="preserve"> is much higher </w:t>
      </w:r>
      <w:r w:rsidR="00BE5735">
        <w:lastRenderedPageBreak/>
        <w:t>than the two approaches, it can be</w:t>
      </w:r>
      <w:r w:rsidR="00783B11">
        <w:t xml:space="preserve"> suggest</w:t>
      </w:r>
      <w:r w:rsidR="00BE5735">
        <w:t>ed</w:t>
      </w:r>
      <w:r w:rsidR="00783B11">
        <w:t xml:space="preserve"> that </w:t>
      </w:r>
      <w:r w:rsidR="00F85816">
        <w:t xml:space="preserve">introduction of sequence order effect using Chou's </w:t>
      </w:r>
      <w:proofErr w:type="spellStart"/>
      <w:r w:rsidR="00F85816">
        <w:t>pseAAC</w:t>
      </w:r>
      <w:proofErr w:type="spellEnd"/>
      <w:r w:rsidR="00F85816">
        <w:t xml:space="preserve"> enhances AFP identification by SVMs.</w:t>
      </w:r>
    </w:p>
    <w:p w:rsidR="0024574B" w:rsidRDefault="0024574B" w:rsidP="00BD71DD">
      <w:pPr>
        <w:spacing w:line="480" w:lineRule="auto"/>
      </w:pPr>
    </w:p>
    <w:p w:rsidR="003B35AB" w:rsidRDefault="003B35AB" w:rsidP="00BD71DD">
      <w:pPr>
        <w:pStyle w:val="ListParagraph"/>
        <w:numPr>
          <w:ilvl w:val="0"/>
          <w:numId w:val="1"/>
        </w:numPr>
        <w:spacing w:line="480" w:lineRule="auto"/>
        <w:rPr>
          <w:b/>
        </w:rPr>
      </w:pPr>
      <w:r w:rsidRPr="003B35AB">
        <w:rPr>
          <w:b/>
        </w:rPr>
        <w:t>Conclusion</w:t>
      </w:r>
    </w:p>
    <w:p w:rsidR="00ED244B" w:rsidRDefault="003B35AB" w:rsidP="00BD71DD">
      <w:pPr>
        <w:pStyle w:val="ListParagraph"/>
        <w:spacing w:line="480" w:lineRule="auto"/>
        <w:ind w:left="0"/>
      </w:pPr>
      <w:r>
        <w:t xml:space="preserve">Diversity renders difficulty towards accurate identification of antifreeze proteins. </w:t>
      </w:r>
      <w:r w:rsidR="003F735D" w:rsidRPr="00D01F39">
        <w:t xml:space="preserve">Earlier work reported </w:t>
      </w:r>
      <w:r w:rsidR="004E1785">
        <w:t xml:space="preserve">sequence based </w:t>
      </w:r>
      <w:r w:rsidR="003F735D" w:rsidRPr="00D01F39">
        <w:t xml:space="preserve">solutions but sequence order </w:t>
      </w:r>
      <w:r w:rsidR="00F13326">
        <w:t>effect</w:t>
      </w:r>
      <w:r w:rsidR="003F735D" w:rsidRPr="00D01F39">
        <w:t xml:space="preserve"> which is known to improve prediction of protein attributes remained to be explored.</w:t>
      </w:r>
      <w:r w:rsidR="00F85816" w:rsidRPr="00D01F39">
        <w:t xml:space="preserve"> Since Chou's pseudo amino acid composition features represents diverse proteins as discrete models </w:t>
      </w:r>
      <w:r w:rsidR="003F735D" w:rsidRPr="00D01F39">
        <w:t xml:space="preserve">yet </w:t>
      </w:r>
      <w:r w:rsidR="00F85816" w:rsidRPr="00D01F39">
        <w:t xml:space="preserve">without </w:t>
      </w:r>
      <w:r w:rsidR="003F735D" w:rsidRPr="00D01F39">
        <w:t xml:space="preserve">entirely </w:t>
      </w:r>
      <w:r w:rsidR="00F85816" w:rsidRPr="00D01F39">
        <w:t xml:space="preserve">losing </w:t>
      </w:r>
      <w:r w:rsidR="003F735D" w:rsidRPr="00D01F39">
        <w:t>the</w:t>
      </w:r>
      <w:r w:rsidR="00F85816" w:rsidRPr="00D01F39">
        <w:t xml:space="preserve"> sequence order </w:t>
      </w:r>
      <w:r w:rsidR="00F13326">
        <w:t>information</w:t>
      </w:r>
      <w:r w:rsidR="00F85816" w:rsidRPr="00D01F39">
        <w:t xml:space="preserve">, we </w:t>
      </w:r>
      <w:r w:rsidR="003F735D" w:rsidRPr="00D01F39">
        <w:t>hop</w:t>
      </w:r>
      <w:r w:rsidR="00F85816" w:rsidRPr="00D01F39">
        <w:t>e</w:t>
      </w:r>
      <w:r w:rsidR="003F735D" w:rsidRPr="00D01F39">
        <w:t>d</w:t>
      </w:r>
      <w:r w:rsidR="00F85816" w:rsidRPr="00D01F39">
        <w:t xml:space="preserve"> </w:t>
      </w:r>
      <w:r w:rsidR="003F735D" w:rsidRPr="00D01F39">
        <w:t xml:space="preserve">to develop </w:t>
      </w:r>
      <w:r w:rsidR="00F85816" w:rsidRPr="00D01F39">
        <w:t>a novel</w:t>
      </w:r>
      <w:r w:rsidR="00F85816">
        <w:t xml:space="preserve"> </w:t>
      </w:r>
      <w:r w:rsidR="003F735D">
        <w:t xml:space="preserve">effective </w:t>
      </w:r>
      <w:r w:rsidR="00D33308">
        <w:t xml:space="preserve">approach </w:t>
      </w:r>
      <w:r w:rsidR="000124EA">
        <w:t>AFP-</w:t>
      </w:r>
      <w:proofErr w:type="spellStart"/>
      <w:r w:rsidR="000124EA">
        <w:t>PseAAC</w:t>
      </w:r>
      <w:proofErr w:type="spellEnd"/>
      <w:r w:rsidR="00D33308">
        <w:t xml:space="preserve"> for prediction of antifreeze proteins using </w:t>
      </w:r>
      <w:proofErr w:type="spellStart"/>
      <w:r w:rsidR="00D33308">
        <w:t>pseAAC</w:t>
      </w:r>
      <w:proofErr w:type="spellEnd"/>
      <w:r w:rsidR="00D33308">
        <w:t xml:space="preserve"> and SVMs.</w:t>
      </w:r>
      <w:r>
        <w:t xml:space="preserve"> </w:t>
      </w:r>
      <w:r w:rsidR="00F13326">
        <w:t xml:space="preserve">The overall performance shown by </w:t>
      </w:r>
      <w:r w:rsidR="003F735D">
        <w:t>AFP-</w:t>
      </w:r>
      <w:proofErr w:type="spellStart"/>
      <w:r w:rsidR="003F735D">
        <w:t>PseAAC</w:t>
      </w:r>
      <w:proofErr w:type="spellEnd"/>
      <w:r w:rsidR="003F735D">
        <w:t xml:space="preserve"> </w:t>
      </w:r>
      <w:r w:rsidR="00F13326">
        <w:t>was better than</w:t>
      </w:r>
      <w:r w:rsidR="003F735D">
        <w:t xml:space="preserve"> </w:t>
      </w:r>
      <w:r w:rsidR="00F13326">
        <w:t>previous</w:t>
      </w:r>
      <w:r w:rsidR="00D33308">
        <w:t xml:space="preserve"> AFP predictors</w:t>
      </w:r>
      <w:r w:rsidR="00F13326">
        <w:t xml:space="preserve">. Interested users may find relevant details for using this approach </w:t>
      </w:r>
      <w:r w:rsidR="00F13326" w:rsidRPr="00EA4FED">
        <w:t>at</w:t>
      </w:r>
      <w:r w:rsidRPr="00EA4FED">
        <w:t xml:space="preserve"> </w:t>
      </w:r>
      <w:r w:rsidR="00EA4FED" w:rsidRPr="007408DD">
        <w:t>https://sites.google.com/site/sukantamondal/software</w:t>
      </w:r>
      <w:r>
        <w:t xml:space="preserve">. </w:t>
      </w:r>
      <w:r w:rsidR="00D33308">
        <w:t>W</w:t>
      </w:r>
      <w:r>
        <w:t>e anticipate t</w:t>
      </w:r>
      <w:r w:rsidR="00D33308">
        <w:t>his predictor to facilitate faster and broader applications of AFPs in biotechnology.</w:t>
      </w:r>
    </w:p>
    <w:p w:rsidR="0024574B" w:rsidRDefault="0024574B" w:rsidP="00BD71DD">
      <w:pPr>
        <w:spacing w:line="480" w:lineRule="auto"/>
        <w:rPr>
          <w:b/>
        </w:rPr>
      </w:pPr>
    </w:p>
    <w:p w:rsidR="0024574B" w:rsidRPr="0024574B" w:rsidRDefault="00783B11" w:rsidP="00BD71DD">
      <w:pPr>
        <w:spacing w:line="480" w:lineRule="auto"/>
        <w:rPr>
          <w:b/>
        </w:rPr>
      </w:pPr>
      <w:r w:rsidRPr="0024574B">
        <w:rPr>
          <w:b/>
        </w:rPr>
        <w:t>Acknowledgement</w:t>
      </w:r>
    </w:p>
    <w:p w:rsidR="00783B11" w:rsidRDefault="00783B11" w:rsidP="00BD71DD">
      <w:pPr>
        <w:spacing w:line="480" w:lineRule="auto"/>
      </w:pPr>
      <w:r>
        <w:t>The authors thank BITS-</w:t>
      </w:r>
      <w:proofErr w:type="spellStart"/>
      <w:r>
        <w:t>Pilani</w:t>
      </w:r>
      <w:proofErr w:type="spellEnd"/>
      <w:r>
        <w:t xml:space="preserve">, </w:t>
      </w:r>
      <w:proofErr w:type="spellStart"/>
      <w:r>
        <w:t>K.K.Birla</w:t>
      </w:r>
      <w:proofErr w:type="spellEnd"/>
      <w:r>
        <w:t xml:space="preserve"> Goa Campus, for providing the necessary support towards conducting of this research.</w:t>
      </w:r>
    </w:p>
    <w:p w:rsidR="0055483C" w:rsidRDefault="0055483C" w:rsidP="00BD71DD">
      <w:pPr>
        <w:spacing w:line="480" w:lineRule="auto"/>
      </w:pPr>
    </w:p>
    <w:p w:rsidR="0055483C" w:rsidRDefault="0055483C" w:rsidP="00BD71DD">
      <w:pPr>
        <w:spacing w:line="480" w:lineRule="auto"/>
      </w:pPr>
    </w:p>
    <w:p w:rsidR="0055483C" w:rsidRDefault="0055483C" w:rsidP="00BD71DD">
      <w:pPr>
        <w:spacing w:line="480" w:lineRule="auto"/>
      </w:pPr>
    </w:p>
    <w:p w:rsidR="004F7E43" w:rsidRPr="0024574B" w:rsidRDefault="004F7E43" w:rsidP="00BD71DD">
      <w:pPr>
        <w:spacing w:line="480" w:lineRule="auto"/>
        <w:rPr>
          <w:b/>
        </w:rPr>
      </w:pPr>
      <w:r w:rsidRPr="0024574B">
        <w:rPr>
          <w:b/>
        </w:rPr>
        <w:lastRenderedPageBreak/>
        <w:t>References</w:t>
      </w:r>
    </w:p>
    <w:p w:rsidR="004F7E43" w:rsidRPr="00DA5DA3" w:rsidRDefault="004F7E43" w:rsidP="007408DD">
      <w:pPr>
        <w:pStyle w:val="ListParagraph"/>
        <w:numPr>
          <w:ilvl w:val="0"/>
          <w:numId w:val="4"/>
        </w:numPr>
        <w:spacing w:line="480" w:lineRule="auto"/>
        <w:ind w:left="360"/>
        <w:rPr>
          <w:shd w:val="clear" w:color="auto" w:fill="FFFFFF"/>
        </w:rPr>
      </w:pPr>
      <w:r w:rsidRPr="00DA5DA3">
        <w:rPr>
          <w:shd w:val="clear" w:color="auto" w:fill="FFFFFF"/>
        </w:rPr>
        <w:t>Se-Kwon, K., 2013. Marine Proteins and Peptides: Biological Activities and Applications, first ed. John Wiley &amp; Sons, United Kingdom.</w:t>
      </w:r>
    </w:p>
    <w:p w:rsidR="004F7E43" w:rsidRDefault="004F7E43" w:rsidP="007408DD">
      <w:pPr>
        <w:pStyle w:val="ListParagraph"/>
        <w:numPr>
          <w:ilvl w:val="0"/>
          <w:numId w:val="4"/>
        </w:numPr>
        <w:spacing w:line="480" w:lineRule="auto"/>
        <w:ind w:left="360"/>
        <w:rPr>
          <w:shd w:val="clear" w:color="auto" w:fill="FFFFFF"/>
        </w:rPr>
      </w:pPr>
      <w:r w:rsidRPr="00DA5DA3">
        <w:rPr>
          <w:shd w:val="clear" w:color="auto" w:fill="FFFFFF"/>
        </w:rPr>
        <w:t>Davies, P.L., Hew, C.L., 1990. Biochemistry of fish antifreeze proteins. FASEB J. 4, 2460–2468</w:t>
      </w:r>
      <w:r>
        <w:rPr>
          <w:shd w:val="clear" w:color="auto" w:fill="FFFFFF"/>
        </w:rPr>
        <w:t>.</w:t>
      </w:r>
    </w:p>
    <w:p w:rsidR="004F7E43" w:rsidRPr="00DA5DA3" w:rsidRDefault="004F7E43" w:rsidP="007408DD">
      <w:pPr>
        <w:pStyle w:val="ListParagraph"/>
        <w:numPr>
          <w:ilvl w:val="0"/>
          <w:numId w:val="4"/>
        </w:numPr>
        <w:spacing w:line="480" w:lineRule="auto"/>
        <w:ind w:left="360"/>
        <w:rPr>
          <w:shd w:val="clear" w:color="auto" w:fill="FFFFFF"/>
        </w:rPr>
      </w:pPr>
      <w:proofErr w:type="spellStart"/>
      <w:r w:rsidRPr="0016457A">
        <w:rPr>
          <w:shd w:val="clear" w:color="auto" w:fill="FFFFFF"/>
        </w:rPr>
        <w:t>Lewitt</w:t>
      </w:r>
      <w:proofErr w:type="spellEnd"/>
      <w:r w:rsidRPr="0016457A">
        <w:rPr>
          <w:shd w:val="clear" w:color="auto" w:fill="FFFFFF"/>
        </w:rPr>
        <w:t>, J., 1980. Responses of Plants to Environmental Stresses, vol. 1. Academic Press, New York.</w:t>
      </w:r>
    </w:p>
    <w:p w:rsidR="004F7E43" w:rsidRDefault="004F7E43" w:rsidP="007408DD">
      <w:pPr>
        <w:pStyle w:val="ListParagraph"/>
        <w:numPr>
          <w:ilvl w:val="0"/>
          <w:numId w:val="4"/>
        </w:numPr>
        <w:spacing w:line="480" w:lineRule="auto"/>
        <w:ind w:left="360"/>
        <w:rPr>
          <w:shd w:val="clear" w:color="auto" w:fill="FFFFFF"/>
        </w:rPr>
      </w:pPr>
      <w:proofErr w:type="spellStart"/>
      <w:r>
        <w:rPr>
          <w:shd w:val="clear" w:color="auto" w:fill="FFFFFF"/>
        </w:rPr>
        <w:t>Sformo</w:t>
      </w:r>
      <w:proofErr w:type="spellEnd"/>
      <w:r>
        <w:rPr>
          <w:shd w:val="clear" w:color="auto" w:fill="FFFFFF"/>
        </w:rPr>
        <w:t xml:space="preserve">, </w:t>
      </w:r>
      <w:r w:rsidRPr="0016457A">
        <w:rPr>
          <w:shd w:val="clear" w:color="auto" w:fill="FFFFFF"/>
        </w:rPr>
        <w:t>T.,</w:t>
      </w:r>
      <w:r>
        <w:rPr>
          <w:shd w:val="clear" w:color="auto" w:fill="FFFFFF"/>
        </w:rPr>
        <w:t xml:space="preserve"> </w:t>
      </w:r>
      <w:r w:rsidRPr="0016457A">
        <w:rPr>
          <w:shd w:val="clear" w:color="auto" w:fill="FFFFFF"/>
        </w:rPr>
        <w:t>Kohl,</w:t>
      </w:r>
      <w:r>
        <w:rPr>
          <w:shd w:val="clear" w:color="auto" w:fill="FFFFFF"/>
        </w:rPr>
        <w:t xml:space="preserve"> </w:t>
      </w:r>
      <w:r w:rsidRPr="0016457A">
        <w:rPr>
          <w:shd w:val="clear" w:color="auto" w:fill="FFFFFF"/>
        </w:rPr>
        <w:t>F.,</w:t>
      </w:r>
      <w:r>
        <w:rPr>
          <w:shd w:val="clear" w:color="auto" w:fill="FFFFFF"/>
        </w:rPr>
        <w:t xml:space="preserve"> </w:t>
      </w:r>
      <w:r w:rsidRPr="0016457A">
        <w:rPr>
          <w:shd w:val="clear" w:color="auto" w:fill="FFFFFF"/>
        </w:rPr>
        <w:t>McIntyre,</w:t>
      </w:r>
      <w:r>
        <w:rPr>
          <w:shd w:val="clear" w:color="auto" w:fill="FFFFFF"/>
        </w:rPr>
        <w:t xml:space="preserve"> </w:t>
      </w:r>
      <w:r w:rsidRPr="0016457A">
        <w:rPr>
          <w:shd w:val="clear" w:color="auto" w:fill="FFFFFF"/>
        </w:rPr>
        <w:t>J.,</w:t>
      </w:r>
      <w:r>
        <w:rPr>
          <w:shd w:val="clear" w:color="auto" w:fill="FFFFFF"/>
        </w:rPr>
        <w:t xml:space="preserve"> </w:t>
      </w:r>
      <w:r w:rsidRPr="0016457A">
        <w:rPr>
          <w:shd w:val="clear" w:color="auto" w:fill="FFFFFF"/>
        </w:rPr>
        <w:t>Kerr,</w:t>
      </w:r>
      <w:r>
        <w:rPr>
          <w:shd w:val="clear" w:color="auto" w:fill="FFFFFF"/>
        </w:rPr>
        <w:t xml:space="preserve"> </w:t>
      </w:r>
      <w:r w:rsidRPr="0016457A">
        <w:rPr>
          <w:shd w:val="clear" w:color="auto" w:fill="FFFFFF"/>
        </w:rPr>
        <w:t>P.,</w:t>
      </w:r>
      <w:r>
        <w:rPr>
          <w:shd w:val="clear" w:color="auto" w:fill="FFFFFF"/>
        </w:rPr>
        <w:t xml:space="preserve"> </w:t>
      </w:r>
      <w:proofErr w:type="spellStart"/>
      <w:r w:rsidRPr="0016457A">
        <w:rPr>
          <w:shd w:val="clear" w:color="auto" w:fill="FFFFFF"/>
        </w:rPr>
        <w:t>Duman</w:t>
      </w:r>
      <w:proofErr w:type="spellEnd"/>
      <w:r w:rsidRPr="0016457A">
        <w:rPr>
          <w:shd w:val="clear" w:color="auto" w:fill="FFFFFF"/>
        </w:rPr>
        <w:t>,</w:t>
      </w:r>
      <w:r>
        <w:rPr>
          <w:shd w:val="clear" w:color="auto" w:fill="FFFFFF"/>
        </w:rPr>
        <w:t xml:space="preserve"> </w:t>
      </w:r>
      <w:r w:rsidRPr="0016457A">
        <w:rPr>
          <w:shd w:val="clear" w:color="auto" w:fill="FFFFFF"/>
        </w:rPr>
        <w:t>J.G.,</w:t>
      </w:r>
      <w:r>
        <w:rPr>
          <w:shd w:val="clear" w:color="auto" w:fill="FFFFFF"/>
        </w:rPr>
        <w:t xml:space="preserve"> </w:t>
      </w:r>
      <w:r w:rsidRPr="0016457A">
        <w:rPr>
          <w:shd w:val="clear" w:color="auto" w:fill="FFFFFF"/>
        </w:rPr>
        <w:t>Barnes,</w:t>
      </w:r>
      <w:r>
        <w:rPr>
          <w:shd w:val="clear" w:color="auto" w:fill="FFFFFF"/>
        </w:rPr>
        <w:t xml:space="preserve"> </w:t>
      </w:r>
      <w:r w:rsidRPr="0016457A">
        <w:rPr>
          <w:shd w:val="clear" w:color="auto" w:fill="FFFFFF"/>
        </w:rPr>
        <w:t>B.M.,</w:t>
      </w:r>
      <w:r>
        <w:rPr>
          <w:shd w:val="clear" w:color="auto" w:fill="FFFFFF"/>
        </w:rPr>
        <w:t xml:space="preserve"> </w:t>
      </w:r>
      <w:r w:rsidRPr="0016457A">
        <w:rPr>
          <w:shd w:val="clear" w:color="auto" w:fill="FFFFFF"/>
        </w:rPr>
        <w:t>2009. Simultaneous freeze</w:t>
      </w:r>
      <w:r>
        <w:rPr>
          <w:shd w:val="clear" w:color="auto" w:fill="FFFFFF"/>
        </w:rPr>
        <w:t xml:space="preserve"> </w:t>
      </w:r>
      <w:r w:rsidRPr="0016457A">
        <w:rPr>
          <w:shd w:val="clear" w:color="auto" w:fill="FFFFFF"/>
        </w:rPr>
        <w:t>tolerance</w:t>
      </w:r>
      <w:r>
        <w:rPr>
          <w:shd w:val="clear" w:color="auto" w:fill="FFFFFF"/>
        </w:rPr>
        <w:t xml:space="preserve"> </w:t>
      </w:r>
      <w:r w:rsidRPr="0016457A">
        <w:rPr>
          <w:shd w:val="clear" w:color="auto" w:fill="FFFFFF"/>
        </w:rPr>
        <w:t>and</w:t>
      </w:r>
      <w:r>
        <w:rPr>
          <w:shd w:val="clear" w:color="auto" w:fill="FFFFFF"/>
        </w:rPr>
        <w:t xml:space="preserve"> </w:t>
      </w:r>
      <w:r w:rsidRPr="0016457A">
        <w:rPr>
          <w:shd w:val="clear" w:color="auto" w:fill="FFFFFF"/>
        </w:rPr>
        <w:t>avoidance</w:t>
      </w:r>
      <w:r>
        <w:rPr>
          <w:shd w:val="clear" w:color="auto" w:fill="FFFFFF"/>
        </w:rPr>
        <w:t xml:space="preserve"> </w:t>
      </w:r>
      <w:r w:rsidRPr="0016457A">
        <w:rPr>
          <w:shd w:val="clear" w:color="auto" w:fill="FFFFFF"/>
        </w:rPr>
        <w:t>in</w:t>
      </w:r>
      <w:r>
        <w:rPr>
          <w:shd w:val="clear" w:color="auto" w:fill="FFFFFF"/>
        </w:rPr>
        <w:t xml:space="preserve"> </w:t>
      </w:r>
      <w:r w:rsidRPr="0016457A">
        <w:rPr>
          <w:shd w:val="clear" w:color="auto" w:fill="FFFFFF"/>
        </w:rPr>
        <w:t>individual</w:t>
      </w:r>
      <w:r>
        <w:rPr>
          <w:shd w:val="clear" w:color="auto" w:fill="FFFFFF"/>
        </w:rPr>
        <w:t xml:space="preserve"> </w:t>
      </w:r>
      <w:r w:rsidRPr="0016457A">
        <w:rPr>
          <w:shd w:val="clear" w:color="auto" w:fill="FFFFFF"/>
        </w:rPr>
        <w:t>fungus</w:t>
      </w:r>
      <w:r>
        <w:rPr>
          <w:shd w:val="clear" w:color="auto" w:fill="FFFFFF"/>
        </w:rPr>
        <w:t xml:space="preserve"> </w:t>
      </w:r>
      <w:r w:rsidRPr="0016457A">
        <w:rPr>
          <w:shd w:val="clear" w:color="auto" w:fill="FFFFFF"/>
        </w:rPr>
        <w:t xml:space="preserve">gnats, </w:t>
      </w:r>
      <w:proofErr w:type="spellStart"/>
      <w:r w:rsidRPr="008C3990">
        <w:rPr>
          <w:shd w:val="clear" w:color="auto" w:fill="FFFFFF"/>
        </w:rPr>
        <w:t>Exechia</w:t>
      </w:r>
      <w:proofErr w:type="spellEnd"/>
      <w:r w:rsidRPr="008C3990">
        <w:rPr>
          <w:shd w:val="clear" w:color="auto" w:fill="FFFFFF"/>
        </w:rPr>
        <w:t xml:space="preserve"> </w:t>
      </w:r>
      <w:proofErr w:type="spellStart"/>
      <w:r w:rsidRPr="008C3990">
        <w:rPr>
          <w:shd w:val="clear" w:color="auto" w:fill="FFFFFF"/>
        </w:rPr>
        <w:t>nugatoria</w:t>
      </w:r>
      <w:proofErr w:type="spellEnd"/>
      <w:r w:rsidRPr="0016457A">
        <w:rPr>
          <w:shd w:val="clear" w:color="auto" w:fill="FFFFFF"/>
        </w:rPr>
        <w:t xml:space="preserve">. </w:t>
      </w:r>
      <w:r>
        <w:rPr>
          <w:shd w:val="clear" w:color="auto" w:fill="FFFFFF"/>
        </w:rPr>
        <w:t xml:space="preserve"> </w:t>
      </w:r>
      <w:r w:rsidRPr="0016457A">
        <w:rPr>
          <w:shd w:val="clear" w:color="auto" w:fill="FFFFFF"/>
        </w:rPr>
        <w:t>J.</w:t>
      </w:r>
      <w:r>
        <w:rPr>
          <w:shd w:val="clear" w:color="auto" w:fill="FFFFFF"/>
        </w:rPr>
        <w:t xml:space="preserve"> </w:t>
      </w:r>
      <w:r w:rsidRPr="0016457A">
        <w:rPr>
          <w:shd w:val="clear" w:color="auto" w:fill="FFFFFF"/>
        </w:rPr>
        <w:t>Comp.</w:t>
      </w:r>
      <w:r>
        <w:rPr>
          <w:shd w:val="clear" w:color="auto" w:fill="FFFFFF"/>
        </w:rPr>
        <w:t xml:space="preserve"> </w:t>
      </w:r>
      <w:r w:rsidRPr="0016457A">
        <w:rPr>
          <w:shd w:val="clear" w:color="auto" w:fill="FFFFFF"/>
        </w:rPr>
        <w:t>Physiol.</w:t>
      </w:r>
      <w:r>
        <w:rPr>
          <w:shd w:val="clear" w:color="auto" w:fill="FFFFFF"/>
        </w:rPr>
        <w:t xml:space="preserve"> </w:t>
      </w:r>
      <w:r w:rsidRPr="0016457A">
        <w:rPr>
          <w:shd w:val="clear" w:color="auto" w:fill="FFFFFF"/>
        </w:rPr>
        <w:t>B.</w:t>
      </w:r>
      <w:r>
        <w:rPr>
          <w:shd w:val="clear" w:color="auto" w:fill="FFFFFF"/>
        </w:rPr>
        <w:t xml:space="preserve"> 179</w:t>
      </w:r>
      <w:r w:rsidRPr="0016457A">
        <w:rPr>
          <w:shd w:val="clear" w:color="auto" w:fill="FFFFFF"/>
        </w:rPr>
        <w:t>,</w:t>
      </w:r>
      <w:r>
        <w:rPr>
          <w:shd w:val="clear" w:color="auto" w:fill="FFFFFF"/>
        </w:rPr>
        <w:t xml:space="preserve"> </w:t>
      </w:r>
      <w:r w:rsidRPr="0016457A">
        <w:rPr>
          <w:shd w:val="clear" w:color="auto" w:fill="FFFFFF"/>
        </w:rPr>
        <w:t>897–902.</w:t>
      </w:r>
    </w:p>
    <w:p w:rsidR="004F7E43" w:rsidRPr="00683181" w:rsidRDefault="004F7E43" w:rsidP="007408DD">
      <w:pPr>
        <w:pStyle w:val="ListParagraph"/>
        <w:numPr>
          <w:ilvl w:val="0"/>
          <w:numId w:val="4"/>
        </w:numPr>
        <w:spacing w:line="480" w:lineRule="auto"/>
        <w:ind w:left="360"/>
        <w:rPr>
          <w:shd w:val="clear" w:color="auto" w:fill="FFFFFF"/>
        </w:rPr>
      </w:pPr>
      <w:proofErr w:type="spellStart"/>
      <w:r w:rsidRPr="00683181">
        <w:rPr>
          <w:shd w:val="clear" w:color="auto" w:fill="FFFFFF"/>
        </w:rPr>
        <w:t>Kandaswamy</w:t>
      </w:r>
      <w:proofErr w:type="spellEnd"/>
      <w:r w:rsidRPr="00683181">
        <w:rPr>
          <w:shd w:val="clear" w:color="auto" w:fill="FFFFFF"/>
        </w:rPr>
        <w:t xml:space="preserve">, K.K., Chou, K.C., Martinez, T., </w:t>
      </w:r>
      <w:proofErr w:type="spellStart"/>
      <w:r w:rsidRPr="00683181">
        <w:rPr>
          <w:shd w:val="clear" w:color="auto" w:fill="FFFFFF"/>
        </w:rPr>
        <w:t>Mӧller</w:t>
      </w:r>
      <w:proofErr w:type="spellEnd"/>
      <w:r w:rsidRPr="00683181">
        <w:rPr>
          <w:shd w:val="clear" w:color="auto" w:fill="FFFFFF"/>
        </w:rPr>
        <w:t xml:space="preserve">, S., </w:t>
      </w:r>
      <w:proofErr w:type="spellStart"/>
      <w:r w:rsidRPr="00683181">
        <w:rPr>
          <w:shd w:val="clear" w:color="auto" w:fill="FFFFFF"/>
        </w:rPr>
        <w:t>Suganthan</w:t>
      </w:r>
      <w:proofErr w:type="spellEnd"/>
      <w:r w:rsidRPr="00683181">
        <w:rPr>
          <w:shd w:val="clear" w:color="auto" w:fill="FFFFFF"/>
        </w:rPr>
        <w:t xml:space="preserve">, P.N., </w:t>
      </w:r>
      <w:proofErr w:type="spellStart"/>
      <w:r w:rsidRPr="00683181">
        <w:rPr>
          <w:shd w:val="clear" w:color="auto" w:fill="FFFFFF"/>
        </w:rPr>
        <w:t>Sridharan</w:t>
      </w:r>
      <w:proofErr w:type="spellEnd"/>
      <w:r w:rsidRPr="00683181">
        <w:rPr>
          <w:shd w:val="clear" w:color="auto" w:fill="FFFFFF"/>
        </w:rPr>
        <w:t xml:space="preserve">, S., </w:t>
      </w:r>
      <w:proofErr w:type="spellStart"/>
      <w:r w:rsidRPr="00683181">
        <w:rPr>
          <w:shd w:val="clear" w:color="auto" w:fill="FFFFFF"/>
        </w:rPr>
        <w:t>Pugalenthi</w:t>
      </w:r>
      <w:proofErr w:type="spellEnd"/>
      <w:r w:rsidRPr="00683181">
        <w:rPr>
          <w:shd w:val="clear" w:color="auto" w:fill="FFFFFF"/>
        </w:rPr>
        <w:t xml:space="preserve">, G., 2011. </w:t>
      </w:r>
      <w:r w:rsidRPr="00683181">
        <w:t>AFP-</w:t>
      </w:r>
      <w:proofErr w:type="spellStart"/>
      <w:r w:rsidRPr="00683181">
        <w:t>Pred</w:t>
      </w:r>
      <w:proofErr w:type="spellEnd"/>
      <w:r w:rsidRPr="00683181">
        <w:t>: A random forest approach for predicting antifreeze proteins from sequence-derived properties</w:t>
      </w:r>
      <w:r w:rsidR="008C3990">
        <w:t>.</w:t>
      </w:r>
      <w:r w:rsidRPr="00683181">
        <w:t xml:space="preserve"> </w:t>
      </w:r>
      <w:proofErr w:type="spellStart"/>
      <w:r w:rsidRPr="00683181">
        <w:t>J.Theor.Biol</w:t>
      </w:r>
      <w:proofErr w:type="spellEnd"/>
      <w:r w:rsidRPr="00683181">
        <w:t>. 270</w:t>
      </w:r>
      <w:r>
        <w:t xml:space="preserve">, </w:t>
      </w:r>
      <w:r w:rsidRPr="00683181">
        <w:t>56–62</w:t>
      </w:r>
      <w:r>
        <w:t>.</w:t>
      </w:r>
    </w:p>
    <w:p w:rsidR="004F7E43" w:rsidRDefault="004F7E43" w:rsidP="007408DD">
      <w:pPr>
        <w:pStyle w:val="ListParagraph"/>
        <w:numPr>
          <w:ilvl w:val="0"/>
          <w:numId w:val="4"/>
        </w:numPr>
        <w:spacing w:line="480" w:lineRule="auto"/>
        <w:ind w:left="360"/>
        <w:rPr>
          <w:shd w:val="clear" w:color="auto" w:fill="FFFFFF"/>
        </w:rPr>
      </w:pPr>
      <w:proofErr w:type="spellStart"/>
      <w:r w:rsidRPr="00A82560">
        <w:rPr>
          <w:shd w:val="clear" w:color="auto" w:fill="FFFFFF"/>
        </w:rPr>
        <w:t>Anand</w:t>
      </w:r>
      <w:proofErr w:type="spellEnd"/>
      <w:r w:rsidRPr="00A82560">
        <w:rPr>
          <w:shd w:val="clear" w:color="auto" w:fill="FFFFFF"/>
        </w:rPr>
        <w:t xml:space="preserve">, A., </w:t>
      </w:r>
      <w:proofErr w:type="spellStart"/>
      <w:r w:rsidRPr="00A82560">
        <w:rPr>
          <w:shd w:val="clear" w:color="auto" w:fill="FFFFFF"/>
        </w:rPr>
        <w:t>Pugalenthi</w:t>
      </w:r>
      <w:proofErr w:type="spellEnd"/>
      <w:r w:rsidRPr="00A82560">
        <w:rPr>
          <w:shd w:val="clear" w:color="auto" w:fill="FFFFFF"/>
        </w:rPr>
        <w:t xml:space="preserve">, G., </w:t>
      </w:r>
      <w:proofErr w:type="spellStart"/>
      <w:r w:rsidRPr="00A82560">
        <w:rPr>
          <w:shd w:val="clear" w:color="auto" w:fill="FFFFFF"/>
        </w:rPr>
        <w:t>Suganthan</w:t>
      </w:r>
      <w:proofErr w:type="spellEnd"/>
      <w:r w:rsidRPr="00A82560">
        <w:rPr>
          <w:shd w:val="clear" w:color="auto" w:fill="FFFFFF"/>
        </w:rPr>
        <w:t>, P.N., 2008. Predicting protein structural class by SVM with class-wise optimized features and decision pro</w:t>
      </w:r>
      <w:r>
        <w:rPr>
          <w:shd w:val="clear" w:color="auto" w:fill="FFFFFF"/>
        </w:rPr>
        <w:t xml:space="preserve">babilities. J. </w:t>
      </w:r>
      <w:proofErr w:type="spellStart"/>
      <w:r>
        <w:rPr>
          <w:shd w:val="clear" w:color="auto" w:fill="FFFFFF"/>
        </w:rPr>
        <w:t>Theor</w:t>
      </w:r>
      <w:proofErr w:type="spellEnd"/>
      <w:r>
        <w:rPr>
          <w:shd w:val="clear" w:color="auto" w:fill="FFFFFF"/>
        </w:rPr>
        <w:t>. Biol. 253</w:t>
      </w:r>
      <w:r w:rsidRPr="00A82560">
        <w:rPr>
          <w:shd w:val="clear" w:color="auto" w:fill="FFFFFF"/>
        </w:rPr>
        <w:t>, 375–380.</w:t>
      </w:r>
    </w:p>
    <w:p w:rsidR="004F7E43" w:rsidRPr="00431E54" w:rsidRDefault="004F7E43" w:rsidP="007408DD">
      <w:pPr>
        <w:pStyle w:val="ListParagraph"/>
        <w:numPr>
          <w:ilvl w:val="0"/>
          <w:numId w:val="4"/>
        </w:numPr>
        <w:spacing w:line="480" w:lineRule="auto"/>
        <w:ind w:left="360"/>
        <w:rPr>
          <w:shd w:val="clear" w:color="auto" w:fill="FFFFFF"/>
        </w:rPr>
      </w:pPr>
      <w:proofErr w:type="spellStart"/>
      <w:proofErr w:type="gramStart"/>
      <w:r w:rsidRPr="00431E54">
        <w:t>Cai</w:t>
      </w:r>
      <w:proofErr w:type="spellEnd"/>
      <w:proofErr w:type="gramEnd"/>
      <w:r w:rsidRPr="00431E54">
        <w:t>, Y.D., Ricardo, P.W., Jen, C.H., Chou, K.C., 2004. Application of SVM to predict membrane pro</w:t>
      </w:r>
      <w:r w:rsidR="008C3990">
        <w:t xml:space="preserve">tein types. J. </w:t>
      </w:r>
      <w:proofErr w:type="spellStart"/>
      <w:r w:rsidR="008C3990">
        <w:t>Theor</w:t>
      </w:r>
      <w:proofErr w:type="spellEnd"/>
      <w:r w:rsidR="008C3990">
        <w:t>. Biol. 226</w:t>
      </w:r>
      <w:r w:rsidRPr="00431E54">
        <w:t>, 373–376.</w:t>
      </w:r>
    </w:p>
    <w:p w:rsidR="004F7E43" w:rsidRPr="00431E54" w:rsidRDefault="004F7E43" w:rsidP="007408DD">
      <w:pPr>
        <w:pStyle w:val="ListParagraph"/>
        <w:numPr>
          <w:ilvl w:val="0"/>
          <w:numId w:val="4"/>
        </w:numPr>
        <w:spacing w:line="480" w:lineRule="auto"/>
        <w:ind w:left="360"/>
        <w:rPr>
          <w:shd w:val="clear" w:color="auto" w:fill="FFFFFF"/>
        </w:rPr>
      </w:pPr>
      <w:r w:rsidRPr="00431E54">
        <w:t xml:space="preserve">Chou, K.C., 2001. Prediction of protein cellular attributes using pseudo amino acid composition. Proteins: </w:t>
      </w:r>
      <w:proofErr w:type="spellStart"/>
      <w:r w:rsidRPr="00431E54">
        <w:t>Struct</w:t>
      </w:r>
      <w:proofErr w:type="spellEnd"/>
      <w:r w:rsidRPr="00431E54">
        <w:t xml:space="preserve">. </w:t>
      </w:r>
      <w:proofErr w:type="spellStart"/>
      <w:r w:rsidRPr="00431E54">
        <w:t>Funct</w:t>
      </w:r>
      <w:proofErr w:type="spellEnd"/>
      <w:r w:rsidRPr="00431E54">
        <w:t xml:space="preserve">. Genet. 43, 246–255. </w:t>
      </w:r>
    </w:p>
    <w:p w:rsidR="004F7E43" w:rsidRPr="00431E54" w:rsidRDefault="004F7E43" w:rsidP="007408DD">
      <w:pPr>
        <w:pStyle w:val="ListParagraph"/>
        <w:numPr>
          <w:ilvl w:val="0"/>
          <w:numId w:val="4"/>
        </w:numPr>
        <w:spacing w:line="480" w:lineRule="auto"/>
        <w:ind w:left="360"/>
        <w:rPr>
          <w:shd w:val="clear" w:color="auto" w:fill="FFFFFF"/>
        </w:rPr>
      </w:pPr>
      <w:r w:rsidRPr="00431E54">
        <w:t>Chou, K.C., 2005. Using amphiphilic pseudo amino acid composition to predict enzyme subfamily classes. Bioinformatics 21, 10–19.</w:t>
      </w:r>
    </w:p>
    <w:p w:rsidR="004F7E43" w:rsidRPr="00431E54" w:rsidRDefault="004F7E43" w:rsidP="007408DD">
      <w:pPr>
        <w:pStyle w:val="ListParagraph"/>
        <w:numPr>
          <w:ilvl w:val="0"/>
          <w:numId w:val="4"/>
        </w:numPr>
        <w:spacing w:line="480" w:lineRule="auto"/>
        <w:ind w:left="360"/>
        <w:rPr>
          <w:shd w:val="clear" w:color="auto" w:fill="FFFFFF"/>
        </w:rPr>
      </w:pPr>
      <w:r w:rsidRPr="00431E54">
        <w:t xml:space="preserve">Chou, K.C., </w:t>
      </w:r>
      <w:proofErr w:type="spellStart"/>
      <w:proofErr w:type="gramStart"/>
      <w:r w:rsidRPr="00431E54">
        <w:t>Cai</w:t>
      </w:r>
      <w:proofErr w:type="spellEnd"/>
      <w:proofErr w:type="gramEnd"/>
      <w:r w:rsidRPr="00431E54">
        <w:t xml:space="preserve">, Y.D., 2005. Prediction of membrane protein types by incorporating </w:t>
      </w:r>
      <w:proofErr w:type="spellStart"/>
      <w:r w:rsidRPr="00431E54">
        <w:t>amphipathic</w:t>
      </w:r>
      <w:proofErr w:type="spellEnd"/>
      <w:r w:rsidRPr="00431E54">
        <w:t xml:space="preserve"> effects. J. Chem. Inf. Modeling</w:t>
      </w:r>
      <w:r w:rsidR="008C3990">
        <w:t>.</w:t>
      </w:r>
      <w:r w:rsidRPr="00431E54">
        <w:t xml:space="preserve"> 45, 407–413.</w:t>
      </w:r>
    </w:p>
    <w:p w:rsidR="004F7E43" w:rsidRPr="00431E54" w:rsidRDefault="004F7E43" w:rsidP="007408DD">
      <w:pPr>
        <w:pStyle w:val="ListParagraph"/>
        <w:numPr>
          <w:ilvl w:val="0"/>
          <w:numId w:val="4"/>
        </w:numPr>
        <w:spacing w:line="480" w:lineRule="auto"/>
        <w:ind w:left="360"/>
        <w:rPr>
          <w:shd w:val="clear" w:color="auto" w:fill="FFFFFF"/>
        </w:rPr>
      </w:pPr>
      <w:r w:rsidRPr="00431E54">
        <w:lastRenderedPageBreak/>
        <w:t xml:space="preserve">Chou, K.C., </w:t>
      </w:r>
      <w:proofErr w:type="spellStart"/>
      <w:r w:rsidRPr="00431E54">
        <w:t>Shen</w:t>
      </w:r>
      <w:proofErr w:type="spellEnd"/>
      <w:r w:rsidRPr="00431E54">
        <w:t>, H.B., 2009. Recent advances in developing web-servers fo</w:t>
      </w:r>
      <w:r w:rsidR="008C3990">
        <w:t>r predicting protein attributes.</w:t>
      </w:r>
      <w:r w:rsidRPr="00431E54">
        <w:t xml:space="preserve"> Nat. Sci. 1, 63–92.</w:t>
      </w:r>
    </w:p>
    <w:p w:rsidR="004F7E43" w:rsidRPr="00431E54" w:rsidRDefault="004F7E43" w:rsidP="007408DD">
      <w:pPr>
        <w:pStyle w:val="ListParagraph"/>
        <w:numPr>
          <w:ilvl w:val="0"/>
          <w:numId w:val="4"/>
        </w:numPr>
        <w:spacing w:line="480" w:lineRule="auto"/>
        <w:ind w:left="360"/>
        <w:rPr>
          <w:shd w:val="clear" w:color="auto" w:fill="FFFFFF"/>
        </w:rPr>
      </w:pPr>
      <w:r w:rsidRPr="00431E54">
        <w:t>Huang, R.B., Du, Q.S., Wei, Y.T., Pang, Z.W., Wei, H., Chou, K.C., 2009. Physics and chemistry-driven artificial neural network for predicting bioactivity of peptide</w:t>
      </w:r>
      <w:r w:rsidR="008C3990">
        <w:t>s and proteins and their design.</w:t>
      </w:r>
      <w:r w:rsidRPr="00431E54">
        <w:t xml:space="preserve"> </w:t>
      </w:r>
      <w:r w:rsidRPr="008C3990">
        <w:t xml:space="preserve">J. </w:t>
      </w:r>
      <w:proofErr w:type="spellStart"/>
      <w:r w:rsidRPr="008C3990">
        <w:t>Theor</w:t>
      </w:r>
      <w:proofErr w:type="spellEnd"/>
      <w:r w:rsidRPr="008C3990">
        <w:t>. Biol.</w:t>
      </w:r>
      <w:r w:rsidRPr="00431E54">
        <w:t xml:space="preserve"> 256, 428–435.</w:t>
      </w:r>
    </w:p>
    <w:p w:rsidR="004F7E43" w:rsidRPr="00431E54" w:rsidRDefault="004F7E43" w:rsidP="007408DD">
      <w:pPr>
        <w:pStyle w:val="ListParagraph"/>
        <w:numPr>
          <w:ilvl w:val="0"/>
          <w:numId w:val="4"/>
        </w:numPr>
        <w:spacing w:line="480" w:lineRule="auto"/>
        <w:ind w:left="360"/>
        <w:rPr>
          <w:shd w:val="clear" w:color="auto" w:fill="FFFFFF"/>
        </w:rPr>
      </w:pPr>
      <w:proofErr w:type="spellStart"/>
      <w:r w:rsidRPr="00431E54">
        <w:rPr>
          <w:bCs/>
        </w:rPr>
        <w:t>Xiaowei</w:t>
      </w:r>
      <w:proofErr w:type="spellEnd"/>
      <w:r>
        <w:rPr>
          <w:bCs/>
        </w:rPr>
        <w:t>,</w:t>
      </w:r>
      <w:r w:rsidRPr="00431E54">
        <w:rPr>
          <w:bCs/>
        </w:rPr>
        <w:t xml:space="preserve"> Z</w:t>
      </w:r>
      <w:r>
        <w:rPr>
          <w:bCs/>
        </w:rPr>
        <w:t>.,</w:t>
      </w:r>
      <w:r w:rsidRPr="00431E54">
        <w:rPr>
          <w:bCs/>
        </w:rPr>
        <w:t xml:space="preserve"> </w:t>
      </w:r>
      <w:proofErr w:type="spellStart"/>
      <w:r w:rsidRPr="00431E54">
        <w:rPr>
          <w:bCs/>
        </w:rPr>
        <w:t>Zhiqiang</w:t>
      </w:r>
      <w:proofErr w:type="spellEnd"/>
      <w:r>
        <w:rPr>
          <w:bCs/>
        </w:rPr>
        <w:t>, M.,</w:t>
      </w:r>
      <w:r w:rsidRPr="00431E54">
        <w:rPr>
          <w:bCs/>
        </w:rPr>
        <w:t xml:space="preserve"> and </w:t>
      </w:r>
      <w:proofErr w:type="spellStart"/>
      <w:r w:rsidRPr="00431E54">
        <w:rPr>
          <w:bCs/>
        </w:rPr>
        <w:t>Minghao</w:t>
      </w:r>
      <w:proofErr w:type="spellEnd"/>
      <w:r>
        <w:rPr>
          <w:bCs/>
        </w:rPr>
        <w:t>,</w:t>
      </w:r>
      <w:r w:rsidRPr="00431E54">
        <w:rPr>
          <w:bCs/>
        </w:rPr>
        <w:t xml:space="preserve"> Y</w:t>
      </w:r>
      <w:r>
        <w:rPr>
          <w:bCs/>
        </w:rPr>
        <w:t xml:space="preserve">., </w:t>
      </w:r>
      <w:r w:rsidRPr="00431E54">
        <w:rPr>
          <w:bCs/>
        </w:rPr>
        <w:t>2012</w:t>
      </w:r>
      <w:r>
        <w:rPr>
          <w:bCs/>
        </w:rPr>
        <w:t>.</w:t>
      </w:r>
      <w:r w:rsidRPr="00431E54">
        <w:rPr>
          <w:bCs/>
        </w:rPr>
        <w:t xml:space="preserve"> Using Support Vector Machine and Evolutionary Profiles to Predict Antifreeze Protein Sequences</w:t>
      </w:r>
      <w:r w:rsidR="008C3990" w:rsidRPr="008C3990">
        <w:t>.</w:t>
      </w:r>
      <w:r w:rsidRPr="008C3990">
        <w:t xml:space="preserve"> Int. J. Mol. Sci. 13</w:t>
      </w:r>
      <w:r w:rsidRPr="00431E54">
        <w:t>, 2196-2207.</w:t>
      </w:r>
    </w:p>
    <w:p w:rsidR="004F7E43" w:rsidRPr="008C3990" w:rsidRDefault="004F7E43" w:rsidP="007408DD">
      <w:pPr>
        <w:pStyle w:val="ListParagraph"/>
        <w:numPr>
          <w:ilvl w:val="0"/>
          <w:numId w:val="4"/>
        </w:numPr>
        <w:spacing w:line="480" w:lineRule="auto"/>
        <w:ind w:left="360"/>
        <w:rPr>
          <w:shd w:val="clear" w:color="auto" w:fill="FFFFFF"/>
        </w:rPr>
      </w:pPr>
      <w:r>
        <w:rPr>
          <w:shd w:val="clear" w:color="auto" w:fill="FFFFFF"/>
        </w:rPr>
        <w:t xml:space="preserve">Yu, C.S., Lu, C.H., 2011. Identification of Antifreeze Proteins and Their Functional Residues by Support Vector Machine and Genetic Algorithms based on n-Peptide Compositions. </w:t>
      </w:r>
      <w:proofErr w:type="spellStart"/>
      <w:r w:rsidRPr="008C3990">
        <w:rPr>
          <w:shd w:val="clear" w:color="auto" w:fill="FFFFFF"/>
        </w:rPr>
        <w:t>PLoS</w:t>
      </w:r>
      <w:proofErr w:type="spellEnd"/>
      <w:r w:rsidRPr="008C3990">
        <w:rPr>
          <w:shd w:val="clear" w:color="auto" w:fill="FFFFFF"/>
        </w:rPr>
        <w:t xml:space="preserve"> ONE. 6, e20445.</w:t>
      </w:r>
    </w:p>
    <w:p w:rsidR="004F7E43" w:rsidRPr="00F34CD7" w:rsidRDefault="004F7E43" w:rsidP="007408DD">
      <w:pPr>
        <w:pStyle w:val="ListParagraph"/>
        <w:numPr>
          <w:ilvl w:val="0"/>
          <w:numId w:val="4"/>
        </w:numPr>
        <w:spacing w:line="480" w:lineRule="auto"/>
        <w:ind w:left="360"/>
        <w:rPr>
          <w:shd w:val="clear" w:color="auto" w:fill="FFFFFF"/>
        </w:rPr>
      </w:pPr>
      <w:r w:rsidRPr="00F34CD7">
        <w:rPr>
          <w:shd w:val="clear" w:color="auto" w:fill="FFFFFF"/>
        </w:rPr>
        <w:t xml:space="preserve"> Chou, K.C., 2009. Pseudo Amino Acid Composition and its Applications in Bioinformatics,</w:t>
      </w:r>
      <w:r w:rsidR="008C3990">
        <w:rPr>
          <w:shd w:val="clear" w:color="auto" w:fill="FFFFFF"/>
        </w:rPr>
        <w:t xml:space="preserve"> Proteomics and System Biology. </w:t>
      </w:r>
      <w:proofErr w:type="spellStart"/>
      <w:r w:rsidRPr="008C3990">
        <w:rPr>
          <w:shd w:val="clear" w:color="auto" w:fill="FFFFFF"/>
        </w:rPr>
        <w:t>Curr</w:t>
      </w:r>
      <w:proofErr w:type="spellEnd"/>
      <w:r w:rsidRPr="008C3990">
        <w:rPr>
          <w:shd w:val="clear" w:color="auto" w:fill="FFFFFF"/>
        </w:rPr>
        <w:t>. Proteomics.</w:t>
      </w:r>
      <w:r w:rsidRPr="00F34CD7">
        <w:rPr>
          <w:shd w:val="clear" w:color="auto" w:fill="FFFFFF"/>
        </w:rPr>
        <w:t xml:space="preserve"> 6, 262-274.</w:t>
      </w:r>
    </w:p>
    <w:p w:rsidR="00902C07" w:rsidRDefault="004F7E43" w:rsidP="007408DD">
      <w:pPr>
        <w:pStyle w:val="ListParagraph"/>
        <w:numPr>
          <w:ilvl w:val="0"/>
          <w:numId w:val="4"/>
        </w:numPr>
        <w:spacing w:line="480" w:lineRule="auto"/>
        <w:ind w:left="360"/>
        <w:rPr>
          <w:shd w:val="clear" w:color="auto" w:fill="FFFFFF"/>
        </w:rPr>
      </w:pPr>
      <w:r w:rsidRPr="00F34CD7">
        <w:rPr>
          <w:shd w:val="clear" w:color="auto" w:fill="FFFFFF"/>
        </w:rPr>
        <w:t xml:space="preserve"> </w:t>
      </w:r>
      <w:proofErr w:type="spellStart"/>
      <w:r w:rsidRPr="00F34CD7">
        <w:rPr>
          <w:shd w:val="clear" w:color="auto" w:fill="FFFFFF"/>
        </w:rPr>
        <w:t>Joachims</w:t>
      </w:r>
      <w:proofErr w:type="spellEnd"/>
      <w:r w:rsidRPr="00F34CD7">
        <w:rPr>
          <w:shd w:val="clear" w:color="auto" w:fill="FFFFFF"/>
        </w:rPr>
        <w:t>,</w:t>
      </w:r>
      <w:r>
        <w:rPr>
          <w:shd w:val="clear" w:color="auto" w:fill="FFFFFF"/>
        </w:rPr>
        <w:t xml:space="preserve"> T.,</w:t>
      </w:r>
      <w:r w:rsidRPr="00F34CD7">
        <w:rPr>
          <w:shd w:val="clear" w:color="auto" w:fill="FFFFFF"/>
        </w:rPr>
        <w:t xml:space="preserve"> Making large-Scale SVM Learning Practical. Advances in Kernel Methods - Support Vector Learning, B. </w:t>
      </w:r>
      <w:proofErr w:type="spellStart"/>
      <w:r w:rsidRPr="00F34CD7">
        <w:rPr>
          <w:shd w:val="clear" w:color="auto" w:fill="FFFFFF"/>
        </w:rPr>
        <w:t>Schölkopf</w:t>
      </w:r>
      <w:proofErr w:type="spellEnd"/>
      <w:r w:rsidRPr="00F34CD7">
        <w:rPr>
          <w:shd w:val="clear" w:color="auto" w:fill="FFFFFF"/>
        </w:rPr>
        <w:t xml:space="preserve"> and C. Burges and A. </w:t>
      </w:r>
      <w:proofErr w:type="spellStart"/>
      <w:r w:rsidRPr="00F34CD7">
        <w:rPr>
          <w:shd w:val="clear" w:color="auto" w:fill="FFFFFF"/>
        </w:rPr>
        <w:t>Smola</w:t>
      </w:r>
      <w:proofErr w:type="spellEnd"/>
      <w:r w:rsidRPr="00F34CD7">
        <w:rPr>
          <w:shd w:val="clear" w:color="auto" w:fill="FFFFFF"/>
        </w:rPr>
        <w:t xml:space="preserve"> (ed.), MIT-Press, 1999. </w:t>
      </w:r>
    </w:p>
    <w:p w:rsidR="00902C07" w:rsidRDefault="004F7E43" w:rsidP="007408DD">
      <w:pPr>
        <w:pStyle w:val="ListParagraph"/>
        <w:numPr>
          <w:ilvl w:val="0"/>
          <w:numId w:val="4"/>
        </w:numPr>
        <w:spacing w:line="480" w:lineRule="auto"/>
        <w:ind w:left="360"/>
        <w:rPr>
          <w:shd w:val="clear" w:color="auto" w:fill="FFFFFF"/>
        </w:rPr>
      </w:pPr>
      <w:r w:rsidRPr="00902C07">
        <w:rPr>
          <w:shd w:val="clear" w:color="auto" w:fill="FFFFFF"/>
        </w:rPr>
        <w:t>Schaffer, C., 1993. Selecting a classifica</w:t>
      </w:r>
      <w:r w:rsidR="008C3990" w:rsidRPr="00902C07">
        <w:rPr>
          <w:shd w:val="clear" w:color="auto" w:fill="FFFFFF"/>
        </w:rPr>
        <w:t>tion method by cross-validation.</w:t>
      </w:r>
      <w:r w:rsidRPr="00902C07">
        <w:rPr>
          <w:shd w:val="clear" w:color="auto" w:fill="FFFFFF"/>
        </w:rPr>
        <w:t xml:space="preserve"> Mach. Learn.  13, 135-143.</w:t>
      </w:r>
    </w:p>
    <w:p w:rsidR="00902C07" w:rsidRPr="00C93308" w:rsidRDefault="004F7E43" w:rsidP="00C93308">
      <w:pPr>
        <w:pStyle w:val="ListParagraph"/>
        <w:numPr>
          <w:ilvl w:val="0"/>
          <w:numId w:val="4"/>
        </w:numPr>
        <w:spacing w:line="480" w:lineRule="auto"/>
        <w:ind w:left="360"/>
        <w:rPr>
          <w:shd w:val="clear" w:color="auto" w:fill="FFFFFF"/>
        </w:rPr>
      </w:pPr>
      <w:proofErr w:type="spellStart"/>
      <w:r w:rsidRPr="00902C07">
        <w:rPr>
          <w:shd w:val="clear" w:color="auto" w:fill="FFFFFF"/>
        </w:rPr>
        <w:t>Sonnhammer</w:t>
      </w:r>
      <w:proofErr w:type="spellEnd"/>
      <w:r w:rsidRPr="00902C07">
        <w:rPr>
          <w:shd w:val="clear" w:color="auto" w:fill="FFFFFF"/>
        </w:rPr>
        <w:t>, E.L.,</w:t>
      </w:r>
      <w:r w:rsidR="005664DC">
        <w:rPr>
          <w:shd w:val="clear" w:color="auto" w:fill="FFFFFF"/>
        </w:rPr>
        <w:t xml:space="preserve"> </w:t>
      </w:r>
      <w:proofErr w:type="spellStart"/>
      <w:r w:rsidRPr="00902C07">
        <w:rPr>
          <w:shd w:val="clear" w:color="auto" w:fill="FFFFFF"/>
        </w:rPr>
        <w:t>Eddy</w:t>
      </w:r>
      <w:proofErr w:type="gramStart"/>
      <w:r w:rsidRPr="00902C07">
        <w:rPr>
          <w:shd w:val="clear" w:color="auto" w:fill="FFFFFF"/>
        </w:rPr>
        <w:t>,S.R</w:t>
      </w:r>
      <w:proofErr w:type="spellEnd"/>
      <w:proofErr w:type="gramEnd"/>
      <w:r w:rsidRPr="00902C07">
        <w:rPr>
          <w:shd w:val="clear" w:color="auto" w:fill="FFFFFF"/>
        </w:rPr>
        <w:t>.,</w:t>
      </w:r>
      <w:r w:rsidR="005664DC">
        <w:rPr>
          <w:shd w:val="clear" w:color="auto" w:fill="FFFFFF"/>
        </w:rPr>
        <w:t xml:space="preserve"> </w:t>
      </w:r>
      <w:r w:rsidRPr="00902C07">
        <w:rPr>
          <w:shd w:val="clear" w:color="auto" w:fill="FFFFFF"/>
        </w:rPr>
        <w:t xml:space="preserve">Durbin,R.,1997. </w:t>
      </w:r>
      <w:proofErr w:type="spellStart"/>
      <w:r w:rsidRPr="00902C07">
        <w:rPr>
          <w:shd w:val="clear" w:color="auto" w:fill="FFFFFF"/>
        </w:rPr>
        <w:t>Pfam</w:t>
      </w:r>
      <w:proofErr w:type="spellEnd"/>
      <w:r w:rsidRPr="00902C07">
        <w:rPr>
          <w:shd w:val="clear" w:color="auto" w:fill="FFFFFF"/>
        </w:rPr>
        <w:t>: a comprehensive database of</w:t>
      </w:r>
      <w:r w:rsidR="00C93308">
        <w:rPr>
          <w:shd w:val="clear" w:color="auto" w:fill="FFFFFF"/>
        </w:rPr>
        <w:t xml:space="preserve"> </w:t>
      </w:r>
      <w:r w:rsidRPr="00C93308">
        <w:rPr>
          <w:shd w:val="clear" w:color="auto" w:fill="FFFFFF"/>
        </w:rPr>
        <w:t>protein domain families based on seed alignments</w:t>
      </w:r>
      <w:r w:rsidR="008C3990" w:rsidRPr="00C93308">
        <w:rPr>
          <w:shd w:val="clear" w:color="auto" w:fill="FFFFFF"/>
        </w:rPr>
        <w:t>.</w:t>
      </w:r>
      <w:r w:rsidRPr="00C93308">
        <w:rPr>
          <w:shd w:val="clear" w:color="auto" w:fill="FFFFFF"/>
        </w:rPr>
        <w:t xml:space="preserve"> Proteins. 28, 405–420.</w:t>
      </w:r>
    </w:p>
    <w:p w:rsidR="004F7E43" w:rsidRPr="00902C07" w:rsidRDefault="004F7E43" w:rsidP="007408DD">
      <w:pPr>
        <w:pStyle w:val="ListParagraph"/>
        <w:numPr>
          <w:ilvl w:val="0"/>
          <w:numId w:val="4"/>
        </w:numPr>
        <w:spacing w:line="480" w:lineRule="auto"/>
        <w:ind w:left="360"/>
        <w:rPr>
          <w:shd w:val="clear" w:color="auto" w:fill="FFFFFF"/>
        </w:rPr>
      </w:pPr>
      <w:proofErr w:type="spellStart"/>
      <w:r w:rsidRPr="004C3F71">
        <w:rPr>
          <w:shd w:val="clear" w:color="auto" w:fill="FFFFFF"/>
        </w:rPr>
        <w:t>Altschul</w:t>
      </w:r>
      <w:proofErr w:type="spellEnd"/>
      <w:r w:rsidRPr="004C3F71">
        <w:rPr>
          <w:shd w:val="clear" w:color="auto" w:fill="FFFFFF"/>
        </w:rPr>
        <w:t>, S.F.,</w:t>
      </w:r>
      <w:r>
        <w:rPr>
          <w:shd w:val="clear" w:color="auto" w:fill="FFFFFF"/>
        </w:rPr>
        <w:t xml:space="preserve"> </w:t>
      </w:r>
      <w:proofErr w:type="spellStart"/>
      <w:r w:rsidRPr="004C3F71">
        <w:rPr>
          <w:shd w:val="clear" w:color="auto" w:fill="FFFFFF"/>
        </w:rPr>
        <w:t>Madden</w:t>
      </w:r>
      <w:proofErr w:type="gramStart"/>
      <w:r w:rsidRPr="004C3F71">
        <w:rPr>
          <w:shd w:val="clear" w:color="auto" w:fill="FFFFFF"/>
        </w:rPr>
        <w:t>,T.L</w:t>
      </w:r>
      <w:proofErr w:type="spellEnd"/>
      <w:proofErr w:type="gramEnd"/>
      <w:r w:rsidRPr="004C3F71">
        <w:rPr>
          <w:shd w:val="clear" w:color="auto" w:fill="FFFFFF"/>
        </w:rPr>
        <w:t>.,</w:t>
      </w:r>
      <w:r>
        <w:rPr>
          <w:shd w:val="clear" w:color="auto" w:fill="FFFFFF"/>
        </w:rPr>
        <w:t xml:space="preserve"> </w:t>
      </w:r>
      <w:proofErr w:type="spellStart"/>
      <w:r w:rsidRPr="004C3F71">
        <w:rPr>
          <w:shd w:val="clear" w:color="auto" w:fill="FFFFFF"/>
        </w:rPr>
        <w:t>Schaffer,A.A</w:t>
      </w:r>
      <w:proofErr w:type="spellEnd"/>
      <w:r w:rsidRPr="004C3F71">
        <w:rPr>
          <w:shd w:val="clear" w:color="auto" w:fill="FFFFFF"/>
        </w:rPr>
        <w:t>.,</w:t>
      </w:r>
      <w:r>
        <w:rPr>
          <w:shd w:val="clear" w:color="auto" w:fill="FFFFFF"/>
        </w:rPr>
        <w:t xml:space="preserve"> </w:t>
      </w:r>
      <w:proofErr w:type="spellStart"/>
      <w:r w:rsidRPr="004C3F71">
        <w:rPr>
          <w:shd w:val="clear" w:color="auto" w:fill="FFFFFF"/>
        </w:rPr>
        <w:t>Zhang,J</w:t>
      </w:r>
      <w:proofErr w:type="spellEnd"/>
      <w:r w:rsidRPr="004C3F71">
        <w:rPr>
          <w:shd w:val="clear" w:color="auto" w:fill="FFFFFF"/>
        </w:rPr>
        <w:t>.,</w:t>
      </w:r>
      <w:r>
        <w:rPr>
          <w:shd w:val="clear" w:color="auto" w:fill="FFFFFF"/>
        </w:rPr>
        <w:t xml:space="preserve"> </w:t>
      </w:r>
      <w:proofErr w:type="spellStart"/>
      <w:r w:rsidRPr="004C3F71">
        <w:rPr>
          <w:shd w:val="clear" w:color="auto" w:fill="FFFFFF"/>
        </w:rPr>
        <w:t>Zhang,Z</w:t>
      </w:r>
      <w:proofErr w:type="spellEnd"/>
      <w:r w:rsidRPr="004C3F71">
        <w:rPr>
          <w:shd w:val="clear" w:color="auto" w:fill="FFFFFF"/>
        </w:rPr>
        <w:t>.,</w:t>
      </w:r>
      <w:r>
        <w:rPr>
          <w:shd w:val="clear" w:color="auto" w:fill="FFFFFF"/>
        </w:rPr>
        <w:t xml:space="preserve"> </w:t>
      </w:r>
      <w:proofErr w:type="spellStart"/>
      <w:r>
        <w:rPr>
          <w:shd w:val="clear" w:color="auto" w:fill="FFFFFF"/>
        </w:rPr>
        <w:t>M</w:t>
      </w:r>
      <w:r w:rsidRPr="004C3F71">
        <w:rPr>
          <w:shd w:val="clear" w:color="auto" w:fill="FFFFFF"/>
        </w:rPr>
        <w:t>iller,W</w:t>
      </w:r>
      <w:proofErr w:type="spellEnd"/>
      <w:r w:rsidRPr="004C3F71">
        <w:rPr>
          <w:shd w:val="clear" w:color="auto" w:fill="FFFFFF"/>
        </w:rPr>
        <w:t>.,</w:t>
      </w:r>
      <w:r>
        <w:rPr>
          <w:shd w:val="clear" w:color="auto" w:fill="FFFFFF"/>
        </w:rPr>
        <w:t xml:space="preserve"> </w:t>
      </w:r>
      <w:proofErr w:type="spellStart"/>
      <w:r w:rsidRPr="004C3F71">
        <w:rPr>
          <w:shd w:val="clear" w:color="auto" w:fill="FFFFFF"/>
        </w:rPr>
        <w:t>Lipman,D.J</w:t>
      </w:r>
      <w:proofErr w:type="spellEnd"/>
      <w:r w:rsidRPr="004C3F71">
        <w:rPr>
          <w:shd w:val="clear" w:color="auto" w:fill="FFFFFF"/>
        </w:rPr>
        <w:t>.,</w:t>
      </w:r>
      <w:r>
        <w:rPr>
          <w:shd w:val="clear" w:color="auto" w:fill="FFFFFF"/>
        </w:rPr>
        <w:t xml:space="preserve"> </w:t>
      </w:r>
      <w:r w:rsidRPr="004C3F71">
        <w:rPr>
          <w:shd w:val="clear" w:color="auto" w:fill="FFFFFF"/>
        </w:rPr>
        <w:t>1997. Gapped</w:t>
      </w:r>
      <w:r>
        <w:rPr>
          <w:shd w:val="clear" w:color="auto" w:fill="FFFFFF"/>
        </w:rPr>
        <w:t xml:space="preserve"> </w:t>
      </w:r>
      <w:r w:rsidRPr="004C3F71">
        <w:rPr>
          <w:shd w:val="clear" w:color="auto" w:fill="FFFFFF"/>
        </w:rPr>
        <w:t>BLAST</w:t>
      </w:r>
      <w:r>
        <w:rPr>
          <w:shd w:val="clear" w:color="auto" w:fill="FFFFFF"/>
        </w:rPr>
        <w:t xml:space="preserve"> </w:t>
      </w:r>
      <w:r w:rsidRPr="004C3F71">
        <w:rPr>
          <w:shd w:val="clear" w:color="auto" w:fill="FFFFFF"/>
        </w:rPr>
        <w:t>and</w:t>
      </w:r>
      <w:r>
        <w:rPr>
          <w:shd w:val="clear" w:color="auto" w:fill="FFFFFF"/>
        </w:rPr>
        <w:t xml:space="preserve"> </w:t>
      </w:r>
      <w:r w:rsidRPr="004C3F71">
        <w:rPr>
          <w:shd w:val="clear" w:color="auto" w:fill="FFFFFF"/>
        </w:rPr>
        <w:t>PSI-BLAST:</w:t>
      </w:r>
      <w:r>
        <w:rPr>
          <w:shd w:val="clear" w:color="auto" w:fill="FFFFFF"/>
        </w:rPr>
        <w:t xml:space="preserve"> </w:t>
      </w:r>
      <w:r w:rsidRPr="004C3F71">
        <w:rPr>
          <w:shd w:val="clear" w:color="auto" w:fill="FFFFFF"/>
        </w:rPr>
        <w:t>a</w:t>
      </w:r>
      <w:r>
        <w:rPr>
          <w:shd w:val="clear" w:color="auto" w:fill="FFFFFF"/>
        </w:rPr>
        <w:t xml:space="preserve"> </w:t>
      </w:r>
      <w:r w:rsidRPr="004C3F71">
        <w:rPr>
          <w:shd w:val="clear" w:color="auto" w:fill="FFFFFF"/>
        </w:rPr>
        <w:t>new</w:t>
      </w:r>
      <w:r>
        <w:rPr>
          <w:shd w:val="clear" w:color="auto" w:fill="FFFFFF"/>
        </w:rPr>
        <w:t xml:space="preserve"> </w:t>
      </w:r>
      <w:r w:rsidRPr="004C3F71">
        <w:rPr>
          <w:shd w:val="clear" w:color="auto" w:fill="FFFFFF"/>
        </w:rPr>
        <w:t>generation</w:t>
      </w:r>
      <w:r>
        <w:rPr>
          <w:shd w:val="clear" w:color="auto" w:fill="FFFFFF"/>
        </w:rPr>
        <w:t xml:space="preserve"> </w:t>
      </w:r>
      <w:r w:rsidRPr="004C3F71">
        <w:rPr>
          <w:shd w:val="clear" w:color="auto" w:fill="FFFFFF"/>
        </w:rPr>
        <w:t>of</w:t>
      </w:r>
      <w:r>
        <w:rPr>
          <w:shd w:val="clear" w:color="auto" w:fill="FFFFFF"/>
        </w:rPr>
        <w:t xml:space="preserve"> </w:t>
      </w:r>
      <w:r w:rsidRPr="004C3F71">
        <w:rPr>
          <w:shd w:val="clear" w:color="auto" w:fill="FFFFFF"/>
        </w:rPr>
        <w:t>protein</w:t>
      </w:r>
      <w:r>
        <w:rPr>
          <w:shd w:val="clear" w:color="auto" w:fill="FFFFFF"/>
        </w:rPr>
        <w:t xml:space="preserve"> </w:t>
      </w:r>
      <w:r w:rsidRPr="004C3F71">
        <w:rPr>
          <w:shd w:val="clear" w:color="auto" w:fill="FFFFFF"/>
        </w:rPr>
        <w:t>database</w:t>
      </w:r>
      <w:r w:rsidR="00902C07">
        <w:rPr>
          <w:shd w:val="clear" w:color="auto" w:fill="FFFFFF"/>
        </w:rPr>
        <w:t xml:space="preserve"> </w:t>
      </w:r>
      <w:r w:rsidRPr="00902C07">
        <w:rPr>
          <w:shd w:val="clear" w:color="auto" w:fill="FFFFFF"/>
        </w:rPr>
        <w:t>search programs.</w:t>
      </w:r>
      <w:r w:rsidR="008C3990" w:rsidRPr="00902C07">
        <w:rPr>
          <w:shd w:val="clear" w:color="auto" w:fill="FFFFFF"/>
        </w:rPr>
        <w:t xml:space="preserve"> </w:t>
      </w:r>
      <w:r w:rsidRPr="00902C07">
        <w:rPr>
          <w:shd w:val="clear" w:color="auto" w:fill="FFFFFF"/>
        </w:rPr>
        <w:t>Nucleic</w:t>
      </w:r>
      <w:r w:rsidR="008C3990" w:rsidRPr="00902C07">
        <w:rPr>
          <w:shd w:val="clear" w:color="auto" w:fill="FFFFFF"/>
        </w:rPr>
        <w:t xml:space="preserve"> </w:t>
      </w:r>
      <w:r w:rsidRPr="00902C07">
        <w:rPr>
          <w:shd w:val="clear" w:color="auto" w:fill="FFFFFF"/>
        </w:rPr>
        <w:t>Acids</w:t>
      </w:r>
      <w:r w:rsidR="008C3990" w:rsidRPr="00902C07">
        <w:rPr>
          <w:shd w:val="clear" w:color="auto" w:fill="FFFFFF"/>
        </w:rPr>
        <w:t xml:space="preserve"> </w:t>
      </w:r>
      <w:r w:rsidRPr="00902C07">
        <w:rPr>
          <w:shd w:val="clear" w:color="auto" w:fill="FFFFFF"/>
        </w:rPr>
        <w:t>Res.</w:t>
      </w:r>
      <w:r w:rsidR="008C3990" w:rsidRPr="00902C07">
        <w:rPr>
          <w:shd w:val="clear" w:color="auto" w:fill="FFFFFF"/>
        </w:rPr>
        <w:t xml:space="preserve"> 25</w:t>
      </w:r>
      <w:r w:rsidRPr="00902C07">
        <w:rPr>
          <w:shd w:val="clear" w:color="auto" w:fill="FFFFFF"/>
        </w:rPr>
        <w:t>,</w:t>
      </w:r>
      <w:r w:rsidR="008C3990" w:rsidRPr="00902C07">
        <w:rPr>
          <w:shd w:val="clear" w:color="auto" w:fill="FFFFFF"/>
        </w:rPr>
        <w:t xml:space="preserve"> </w:t>
      </w:r>
      <w:r w:rsidRPr="00902C07">
        <w:rPr>
          <w:shd w:val="clear" w:color="auto" w:fill="FFFFFF"/>
        </w:rPr>
        <w:t>3389–3402.</w:t>
      </w:r>
    </w:p>
    <w:p w:rsidR="00AD0E0E" w:rsidRPr="00C93308" w:rsidRDefault="004F7E43" w:rsidP="007408DD">
      <w:pPr>
        <w:pStyle w:val="ListParagraph"/>
        <w:numPr>
          <w:ilvl w:val="0"/>
          <w:numId w:val="4"/>
        </w:numPr>
        <w:spacing w:line="480" w:lineRule="auto"/>
        <w:ind w:left="360"/>
        <w:rPr>
          <w:shd w:val="clear" w:color="auto" w:fill="FFFFFF"/>
        </w:rPr>
      </w:pPr>
      <w:proofErr w:type="spellStart"/>
      <w:r w:rsidRPr="00C93308">
        <w:rPr>
          <w:shd w:val="clear" w:color="auto" w:fill="FFFFFF"/>
        </w:rPr>
        <w:t>Youden</w:t>
      </w:r>
      <w:proofErr w:type="spellEnd"/>
      <w:r w:rsidRPr="00C93308">
        <w:rPr>
          <w:shd w:val="clear" w:color="auto" w:fill="FFFFFF"/>
        </w:rPr>
        <w:t>, Y.W., 1950. Index for rating diagnostic tests</w:t>
      </w:r>
      <w:r w:rsidR="008C3990" w:rsidRPr="00C93308">
        <w:rPr>
          <w:shd w:val="clear" w:color="auto" w:fill="FFFFFF"/>
        </w:rPr>
        <w:t>.</w:t>
      </w:r>
      <w:r w:rsidRPr="00C93308">
        <w:rPr>
          <w:shd w:val="clear" w:color="auto" w:fill="FFFFFF"/>
        </w:rPr>
        <w:t xml:space="preserve"> Cance</w:t>
      </w:r>
      <w:r w:rsidR="008C3990" w:rsidRPr="00C93308">
        <w:rPr>
          <w:shd w:val="clear" w:color="auto" w:fill="FFFFFF"/>
        </w:rPr>
        <w:t>r.</w:t>
      </w:r>
      <w:r w:rsidRPr="00C93308">
        <w:rPr>
          <w:shd w:val="clear" w:color="auto" w:fill="FFFFFF"/>
        </w:rPr>
        <w:t xml:space="preserve"> 3, 32-35.</w:t>
      </w:r>
    </w:p>
    <w:p w:rsidR="00AD0E0E" w:rsidRPr="00AE682E" w:rsidRDefault="00AE682E" w:rsidP="00C93308">
      <w:pPr>
        <w:spacing w:line="480" w:lineRule="auto"/>
        <w:rPr>
          <w:b/>
          <w:sz w:val="28"/>
          <w:szCs w:val="28"/>
          <w:shd w:val="clear" w:color="auto" w:fill="FFFFFF"/>
        </w:rPr>
      </w:pPr>
      <w:r w:rsidRPr="00AE682E">
        <w:rPr>
          <w:b/>
          <w:sz w:val="28"/>
          <w:szCs w:val="28"/>
          <w:shd w:val="clear" w:color="auto" w:fill="FFFFFF"/>
        </w:rPr>
        <w:lastRenderedPageBreak/>
        <w:t>Figure legend</w:t>
      </w:r>
    </w:p>
    <w:p w:rsidR="00AE682E" w:rsidRDefault="00AE682E" w:rsidP="00AE682E">
      <w:pPr>
        <w:spacing w:line="480" w:lineRule="auto"/>
        <w:rPr>
          <w:shd w:val="clear" w:color="auto" w:fill="FFFFFF"/>
        </w:rPr>
      </w:pPr>
      <w:r>
        <w:rPr>
          <w:shd w:val="clear" w:color="auto" w:fill="FFFFFF"/>
        </w:rPr>
        <w:t>Fig. 1</w:t>
      </w:r>
    </w:p>
    <w:p w:rsidR="00AE682E" w:rsidRPr="00AE682E" w:rsidRDefault="00AE682E" w:rsidP="00AE682E">
      <w:pPr>
        <w:spacing w:line="480" w:lineRule="auto"/>
        <w:rPr>
          <w:shd w:val="clear" w:color="auto" w:fill="FFFFFF"/>
        </w:rPr>
      </w:pPr>
      <w:proofErr w:type="gramStart"/>
      <w:r w:rsidRPr="00AE682E">
        <w:rPr>
          <w:shd w:val="clear" w:color="auto" w:fill="FFFFFF"/>
        </w:rPr>
        <w:t>Exploring optimal pseudo amino acid composition parameters (Type, λ and</w:t>
      </w:r>
      <w:r>
        <w:rPr>
          <w:shd w:val="clear" w:color="auto" w:fill="FFFFFF"/>
        </w:rPr>
        <w:t xml:space="preserve"> </w:t>
      </w:r>
      <w:r w:rsidRPr="00AE682E">
        <w:rPr>
          <w:shd w:val="clear" w:color="auto" w:fill="FFFFFF"/>
          <w:lang w:val="el-GR"/>
        </w:rPr>
        <w:t>ω</w:t>
      </w:r>
      <w:r w:rsidRPr="00AE682E">
        <w:rPr>
          <w:shd w:val="clear" w:color="auto" w:fill="FFFFFF"/>
        </w:rPr>
        <w:t>) on the training dataset for the development of the AFP predictor.</w:t>
      </w:r>
      <w:proofErr w:type="gramEnd"/>
      <w:r w:rsidRPr="00AE682E">
        <w:rPr>
          <w:b/>
          <w:bCs/>
          <w:shd w:val="clear" w:color="auto" w:fill="FFFFFF"/>
        </w:rPr>
        <w:t xml:space="preserve"> </w:t>
      </w:r>
    </w:p>
    <w:p w:rsidR="00AE682E" w:rsidRPr="00C93308" w:rsidRDefault="00AE682E" w:rsidP="00C93308">
      <w:pPr>
        <w:spacing w:line="480" w:lineRule="auto"/>
        <w:rPr>
          <w:shd w:val="clear" w:color="auto" w:fill="FFFFFF"/>
        </w:rPr>
      </w:pPr>
    </w:p>
    <w:sectPr w:rsidR="00AE682E" w:rsidRPr="00C93308" w:rsidSect="007467E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66" w:rsidRDefault="00247866" w:rsidP="00B068DC">
      <w:pPr>
        <w:spacing w:after="0" w:line="240" w:lineRule="auto"/>
      </w:pPr>
      <w:r>
        <w:separator/>
      </w:r>
    </w:p>
  </w:endnote>
  <w:endnote w:type="continuationSeparator" w:id="0">
    <w:p w:rsidR="00247866" w:rsidRDefault="00247866" w:rsidP="00B06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default"/>
    <w:sig w:usb0="00000000" w:usb1="00000000" w:usb2="00000000" w:usb3="00000000" w:csb0="0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8DD" w:rsidRDefault="00211040">
    <w:pPr>
      <w:pStyle w:val="Footer"/>
      <w:jc w:val="right"/>
    </w:pPr>
    <w:fldSimple w:instr=" PAGE   \* MERGEFORMAT ">
      <w:r w:rsidR="00995993">
        <w:rPr>
          <w:noProof/>
        </w:rPr>
        <w:t>5</w:t>
      </w:r>
    </w:fldSimple>
  </w:p>
  <w:p w:rsidR="007408DD" w:rsidRDefault="00740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66" w:rsidRDefault="00247866" w:rsidP="00B068DC">
      <w:pPr>
        <w:spacing w:after="0" w:line="240" w:lineRule="auto"/>
      </w:pPr>
      <w:r>
        <w:separator/>
      </w:r>
    </w:p>
  </w:footnote>
  <w:footnote w:type="continuationSeparator" w:id="0">
    <w:p w:rsidR="00247866" w:rsidRDefault="00247866" w:rsidP="00B06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2FD9"/>
    <w:multiLevelType w:val="multilevel"/>
    <w:tmpl w:val="8E1C60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8E09D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43C650ED"/>
    <w:multiLevelType w:val="hybridMultilevel"/>
    <w:tmpl w:val="EFB0E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9059B"/>
    <w:multiLevelType w:val="multilevel"/>
    <w:tmpl w:val="86283366"/>
    <w:lvl w:ilvl="0">
      <w:start w:val="1"/>
      <w:numFmt w:val="decimal"/>
      <w:lvlText w:val="%1."/>
      <w:lvlJc w:val="left"/>
      <w:pPr>
        <w:ind w:left="360" w:hanging="360"/>
      </w:pPr>
      <w:rPr>
        <w:b/>
      </w:rPr>
    </w:lvl>
    <w:lvl w:ilvl="1">
      <w:start w:val="1"/>
      <w:numFmt w:val="decimal"/>
      <w:lvlText w:val="%1.%2."/>
      <w:lvlJc w:val="left"/>
      <w:pPr>
        <w:ind w:left="97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0E24FD"/>
    <w:multiLevelType w:val="hybridMultilevel"/>
    <w:tmpl w:val="899ED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B1171"/>
    <w:rsid w:val="000124EA"/>
    <w:rsid w:val="00025DB4"/>
    <w:rsid w:val="00030328"/>
    <w:rsid w:val="00041509"/>
    <w:rsid w:val="00062730"/>
    <w:rsid w:val="000B0953"/>
    <w:rsid w:val="000B2D8B"/>
    <w:rsid w:val="000C13AE"/>
    <w:rsid w:val="000D3515"/>
    <w:rsid w:val="000E0B17"/>
    <w:rsid w:val="001243D1"/>
    <w:rsid w:val="00166798"/>
    <w:rsid w:val="00183DDA"/>
    <w:rsid w:val="00194E33"/>
    <w:rsid w:val="001A6455"/>
    <w:rsid w:val="001A6C76"/>
    <w:rsid w:val="001B7208"/>
    <w:rsid w:val="001E2865"/>
    <w:rsid w:val="001F1FBF"/>
    <w:rsid w:val="001F528D"/>
    <w:rsid w:val="00204CE0"/>
    <w:rsid w:val="00211040"/>
    <w:rsid w:val="0024574B"/>
    <w:rsid w:val="00247866"/>
    <w:rsid w:val="00252FC9"/>
    <w:rsid w:val="00282948"/>
    <w:rsid w:val="00290A4A"/>
    <w:rsid w:val="00290D35"/>
    <w:rsid w:val="002B3323"/>
    <w:rsid w:val="002B3341"/>
    <w:rsid w:val="002C472E"/>
    <w:rsid w:val="002E35FF"/>
    <w:rsid w:val="00345793"/>
    <w:rsid w:val="00346DB2"/>
    <w:rsid w:val="0035070D"/>
    <w:rsid w:val="00383AF5"/>
    <w:rsid w:val="003A11C8"/>
    <w:rsid w:val="003B35AB"/>
    <w:rsid w:val="003B4D26"/>
    <w:rsid w:val="003F735D"/>
    <w:rsid w:val="004031DB"/>
    <w:rsid w:val="004250FF"/>
    <w:rsid w:val="00452F9F"/>
    <w:rsid w:val="00455F84"/>
    <w:rsid w:val="004662A7"/>
    <w:rsid w:val="00472E08"/>
    <w:rsid w:val="004E1785"/>
    <w:rsid w:val="004F7E43"/>
    <w:rsid w:val="00517E96"/>
    <w:rsid w:val="0054178B"/>
    <w:rsid w:val="0055483C"/>
    <w:rsid w:val="005664DC"/>
    <w:rsid w:val="005678CE"/>
    <w:rsid w:val="00571598"/>
    <w:rsid w:val="00576D86"/>
    <w:rsid w:val="005877DD"/>
    <w:rsid w:val="005C047E"/>
    <w:rsid w:val="005E7623"/>
    <w:rsid w:val="006006B0"/>
    <w:rsid w:val="00603141"/>
    <w:rsid w:val="00607C22"/>
    <w:rsid w:val="006464F3"/>
    <w:rsid w:val="006572A1"/>
    <w:rsid w:val="00686CC0"/>
    <w:rsid w:val="00693FFB"/>
    <w:rsid w:val="006D1885"/>
    <w:rsid w:val="006F578D"/>
    <w:rsid w:val="007341D5"/>
    <w:rsid w:val="0074037D"/>
    <w:rsid w:val="007408DD"/>
    <w:rsid w:val="007467ED"/>
    <w:rsid w:val="0075776D"/>
    <w:rsid w:val="00777B66"/>
    <w:rsid w:val="00783B11"/>
    <w:rsid w:val="00797DA8"/>
    <w:rsid w:val="007A154F"/>
    <w:rsid w:val="007A6EB7"/>
    <w:rsid w:val="007B0927"/>
    <w:rsid w:val="007B2EE0"/>
    <w:rsid w:val="007C6427"/>
    <w:rsid w:val="007C642A"/>
    <w:rsid w:val="0083505D"/>
    <w:rsid w:val="008611C0"/>
    <w:rsid w:val="008660EA"/>
    <w:rsid w:val="008B73B8"/>
    <w:rsid w:val="008C3990"/>
    <w:rsid w:val="008E4C52"/>
    <w:rsid w:val="008F4005"/>
    <w:rsid w:val="008F5D1E"/>
    <w:rsid w:val="008F7F9F"/>
    <w:rsid w:val="00902C07"/>
    <w:rsid w:val="00911822"/>
    <w:rsid w:val="009522A9"/>
    <w:rsid w:val="0097192F"/>
    <w:rsid w:val="00981E8F"/>
    <w:rsid w:val="00982827"/>
    <w:rsid w:val="00985978"/>
    <w:rsid w:val="009873B7"/>
    <w:rsid w:val="009878FE"/>
    <w:rsid w:val="00995993"/>
    <w:rsid w:val="00996929"/>
    <w:rsid w:val="009A01FF"/>
    <w:rsid w:val="009B2932"/>
    <w:rsid w:val="009F2F8A"/>
    <w:rsid w:val="00A36B57"/>
    <w:rsid w:val="00A54C57"/>
    <w:rsid w:val="00A56B90"/>
    <w:rsid w:val="00A63946"/>
    <w:rsid w:val="00A64CFA"/>
    <w:rsid w:val="00A67BA2"/>
    <w:rsid w:val="00A947E9"/>
    <w:rsid w:val="00A97063"/>
    <w:rsid w:val="00AC36BC"/>
    <w:rsid w:val="00AD0E0E"/>
    <w:rsid w:val="00AE5930"/>
    <w:rsid w:val="00AE682E"/>
    <w:rsid w:val="00AF03B7"/>
    <w:rsid w:val="00B00B2C"/>
    <w:rsid w:val="00B068DC"/>
    <w:rsid w:val="00B26558"/>
    <w:rsid w:val="00B617BA"/>
    <w:rsid w:val="00B637A9"/>
    <w:rsid w:val="00B76C87"/>
    <w:rsid w:val="00B855F0"/>
    <w:rsid w:val="00BA0BF9"/>
    <w:rsid w:val="00BA236D"/>
    <w:rsid w:val="00BB3392"/>
    <w:rsid w:val="00BB4951"/>
    <w:rsid w:val="00BC30A1"/>
    <w:rsid w:val="00BC43B5"/>
    <w:rsid w:val="00BD71DD"/>
    <w:rsid w:val="00BE5735"/>
    <w:rsid w:val="00C1471B"/>
    <w:rsid w:val="00C41A85"/>
    <w:rsid w:val="00C60C6A"/>
    <w:rsid w:val="00C843F4"/>
    <w:rsid w:val="00C92D57"/>
    <w:rsid w:val="00C93308"/>
    <w:rsid w:val="00C945EE"/>
    <w:rsid w:val="00CA41CE"/>
    <w:rsid w:val="00CB5504"/>
    <w:rsid w:val="00CB5D1C"/>
    <w:rsid w:val="00CB67C4"/>
    <w:rsid w:val="00CC568B"/>
    <w:rsid w:val="00CD00AA"/>
    <w:rsid w:val="00CD28D3"/>
    <w:rsid w:val="00CE45D5"/>
    <w:rsid w:val="00CF2C27"/>
    <w:rsid w:val="00D01F39"/>
    <w:rsid w:val="00D24CB6"/>
    <w:rsid w:val="00D33308"/>
    <w:rsid w:val="00D336CE"/>
    <w:rsid w:val="00D40C14"/>
    <w:rsid w:val="00D4402A"/>
    <w:rsid w:val="00D54C12"/>
    <w:rsid w:val="00D57F33"/>
    <w:rsid w:val="00D65B3A"/>
    <w:rsid w:val="00DD3DCF"/>
    <w:rsid w:val="00DE721D"/>
    <w:rsid w:val="00E12238"/>
    <w:rsid w:val="00E2301E"/>
    <w:rsid w:val="00E3007F"/>
    <w:rsid w:val="00E43FB2"/>
    <w:rsid w:val="00E6005A"/>
    <w:rsid w:val="00E64E21"/>
    <w:rsid w:val="00E67CB5"/>
    <w:rsid w:val="00E82B8B"/>
    <w:rsid w:val="00EA057A"/>
    <w:rsid w:val="00EA4FED"/>
    <w:rsid w:val="00EA56E4"/>
    <w:rsid w:val="00EA78DA"/>
    <w:rsid w:val="00EB1171"/>
    <w:rsid w:val="00EC608B"/>
    <w:rsid w:val="00ED244B"/>
    <w:rsid w:val="00ED4D89"/>
    <w:rsid w:val="00EE1027"/>
    <w:rsid w:val="00EF0426"/>
    <w:rsid w:val="00EF3BB0"/>
    <w:rsid w:val="00F13326"/>
    <w:rsid w:val="00F158E2"/>
    <w:rsid w:val="00F165B4"/>
    <w:rsid w:val="00F323FF"/>
    <w:rsid w:val="00F85816"/>
    <w:rsid w:val="00FA486B"/>
    <w:rsid w:val="00FD3AC5"/>
    <w:rsid w:val="00FE5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ED"/>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171"/>
    <w:pPr>
      <w:ind w:left="720"/>
      <w:contextualSpacing/>
    </w:pPr>
  </w:style>
  <w:style w:type="paragraph" w:customStyle="1" w:styleId="Standard">
    <w:name w:val="Standard"/>
    <w:rsid w:val="00455F84"/>
    <w:pPr>
      <w:widowControl w:val="0"/>
      <w:suppressAutoHyphens/>
      <w:autoSpaceDN w:val="0"/>
      <w:textAlignment w:val="baseline"/>
    </w:pPr>
    <w:rPr>
      <w:rFonts w:ascii="Liberation Serif" w:eastAsia="DejaVu Sans" w:hAnsi="Liberation Serif" w:cs="Lohit Hindi"/>
      <w:kern w:val="3"/>
      <w:sz w:val="24"/>
      <w:szCs w:val="24"/>
      <w:lang w:val="en-IN" w:eastAsia="en-IN"/>
    </w:rPr>
  </w:style>
  <w:style w:type="paragraph" w:styleId="BalloonText">
    <w:name w:val="Balloon Text"/>
    <w:basedOn w:val="Normal"/>
    <w:link w:val="BalloonTextChar"/>
    <w:uiPriority w:val="99"/>
    <w:semiHidden/>
    <w:unhideWhenUsed/>
    <w:rsid w:val="0045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84"/>
    <w:rPr>
      <w:rFonts w:ascii="Tahoma" w:hAnsi="Tahoma" w:cs="Tahoma"/>
      <w:sz w:val="16"/>
      <w:szCs w:val="16"/>
    </w:rPr>
  </w:style>
  <w:style w:type="character" w:styleId="CommentReference">
    <w:name w:val="annotation reference"/>
    <w:basedOn w:val="DefaultParagraphFont"/>
    <w:uiPriority w:val="99"/>
    <w:semiHidden/>
    <w:unhideWhenUsed/>
    <w:rsid w:val="00571598"/>
    <w:rPr>
      <w:sz w:val="16"/>
      <w:szCs w:val="16"/>
    </w:rPr>
  </w:style>
  <w:style w:type="paragraph" w:styleId="CommentText">
    <w:name w:val="annotation text"/>
    <w:basedOn w:val="Normal"/>
    <w:link w:val="CommentTextChar"/>
    <w:uiPriority w:val="99"/>
    <w:semiHidden/>
    <w:unhideWhenUsed/>
    <w:rsid w:val="00571598"/>
    <w:pPr>
      <w:spacing w:line="240" w:lineRule="auto"/>
    </w:pPr>
    <w:rPr>
      <w:sz w:val="20"/>
      <w:szCs w:val="20"/>
    </w:rPr>
  </w:style>
  <w:style w:type="character" w:customStyle="1" w:styleId="CommentTextChar">
    <w:name w:val="Comment Text Char"/>
    <w:basedOn w:val="DefaultParagraphFont"/>
    <w:link w:val="CommentText"/>
    <w:uiPriority w:val="99"/>
    <w:semiHidden/>
    <w:rsid w:val="00571598"/>
    <w:rPr>
      <w:sz w:val="20"/>
      <w:szCs w:val="20"/>
    </w:rPr>
  </w:style>
  <w:style w:type="paragraph" w:styleId="CommentSubject">
    <w:name w:val="annotation subject"/>
    <w:basedOn w:val="CommentText"/>
    <w:next w:val="CommentText"/>
    <w:link w:val="CommentSubjectChar"/>
    <w:uiPriority w:val="99"/>
    <w:semiHidden/>
    <w:unhideWhenUsed/>
    <w:rsid w:val="00571598"/>
    <w:rPr>
      <w:b/>
      <w:bCs/>
    </w:rPr>
  </w:style>
  <w:style w:type="character" w:customStyle="1" w:styleId="CommentSubjectChar">
    <w:name w:val="Comment Subject Char"/>
    <w:basedOn w:val="CommentTextChar"/>
    <w:link w:val="CommentSubject"/>
    <w:uiPriority w:val="99"/>
    <w:semiHidden/>
    <w:rsid w:val="00571598"/>
    <w:rPr>
      <w:b/>
      <w:bCs/>
    </w:rPr>
  </w:style>
  <w:style w:type="character" w:styleId="PlaceholderText">
    <w:name w:val="Placeholder Text"/>
    <w:basedOn w:val="DefaultParagraphFont"/>
    <w:uiPriority w:val="99"/>
    <w:semiHidden/>
    <w:rsid w:val="006464F3"/>
    <w:rPr>
      <w:color w:val="808080"/>
    </w:rPr>
  </w:style>
  <w:style w:type="character" w:styleId="HTMLCite">
    <w:name w:val="HTML Cite"/>
    <w:basedOn w:val="DefaultParagraphFont"/>
    <w:uiPriority w:val="99"/>
    <w:semiHidden/>
    <w:unhideWhenUsed/>
    <w:rsid w:val="00C60C6A"/>
    <w:rPr>
      <w:i/>
      <w:iCs/>
    </w:rPr>
  </w:style>
  <w:style w:type="paragraph" w:styleId="DocumentMap">
    <w:name w:val="Document Map"/>
    <w:basedOn w:val="Normal"/>
    <w:link w:val="DocumentMapChar"/>
    <w:uiPriority w:val="99"/>
    <w:semiHidden/>
    <w:unhideWhenUsed/>
    <w:rsid w:val="00A9706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7063"/>
    <w:rPr>
      <w:rFonts w:ascii="Tahoma" w:hAnsi="Tahoma" w:cs="Tahoma"/>
      <w:sz w:val="16"/>
      <w:szCs w:val="16"/>
    </w:rPr>
  </w:style>
  <w:style w:type="paragraph" w:styleId="Header">
    <w:name w:val="header"/>
    <w:basedOn w:val="Normal"/>
    <w:link w:val="HeaderChar"/>
    <w:uiPriority w:val="99"/>
    <w:semiHidden/>
    <w:unhideWhenUsed/>
    <w:rsid w:val="00B068DC"/>
    <w:pPr>
      <w:tabs>
        <w:tab w:val="center" w:pos="4680"/>
        <w:tab w:val="right" w:pos="9360"/>
      </w:tabs>
    </w:pPr>
  </w:style>
  <w:style w:type="character" w:customStyle="1" w:styleId="HeaderChar">
    <w:name w:val="Header Char"/>
    <w:basedOn w:val="DefaultParagraphFont"/>
    <w:link w:val="Header"/>
    <w:uiPriority w:val="99"/>
    <w:semiHidden/>
    <w:rsid w:val="00B068DC"/>
    <w:rPr>
      <w:sz w:val="24"/>
      <w:szCs w:val="24"/>
    </w:rPr>
  </w:style>
  <w:style w:type="paragraph" w:styleId="Footer">
    <w:name w:val="footer"/>
    <w:basedOn w:val="Normal"/>
    <w:link w:val="FooterChar"/>
    <w:uiPriority w:val="99"/>
    <w:unhideWhenUsed/>
    <w:rsid w:val="00B068DC"/>
    <w:pPr>
      <w:tabs>
        <w:tab w:val="center" w:pos="4680"/>
        <w:tab w:val="right" w:pos="9360"/>
      </w:tabs>
    </w:pPr>
  </w:style>
  <w:style w:type="character" w:customStyle="1" w:styleId="FooterChar">
    <w:name w:val="Footer Char"/>
    <w:basedOn w:val="DefaultParagraphFont"/>
    <w:link w:val="Footer"/>
    <w:uiPriority w:val="99"/>
    <w:rsid w:val="00B068DC"/>
    <w:rPr>
      <w:sz w:val="24"/>
      <w:szCs w:val="24"/>
    </w:rPr>
  </w:style>
  <w:style w:type="character" w:styleId="Hyperlink">
    <w:name w:val="Hyperlink"/>
    <w:basedOn w:val="DefaultParagraphFont"/>
    <w:uiPriority w:val="99"/>
    <w:semiHidden/>
    <w:unhideWhenUsed/>
    <w:rsid w:val="00EA4FED"/>
    <w:rPr>
      <w:color w:val="0000FF"/>
      <w:u w:val="single"/>
    </w:rPr>
  </w:style>
</w:styles>
</file>

<file path=word/webSettings.xml><?xml version="1.0" encoding="utf-8"?>
<w:webSettings xmlns:r="http://schemas.openxmlformats.org/officeDocument/2006/relationships" xmlns:w="http://schemas.openxmlformats.org/wordprocessingml/2006/main">
  <w:divs>
    <w:div w:id="18987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52B12-AC07-4FA8-A4AC-D0FB5392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16</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P.N.Pai</dc:creator>
  <cp:lastModifiedBy>admin</cp:lastModifiedBy>
  <cp:revision>51</cp:revision>
  <dcterms:created xsi:type="dcterms:W3CDTF">2013-11-11T10:06:00Z</dcterms:created>
  <dcterms:modified xsi:type="dcterms:W3CDTF">2014-01-28T15:13:00Z</dcterms:modified>
</cp:coreProperties>
</file>